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ציפי כהן אביטן</w:t>
                </w:r>
              </w:sdtContent>
            </w:sdt>
          </w:p>
          <w:p w:rsidR="002914D6" w:rsidRDefault="002914D6">
            <w:pPr>
              <w:rPr>
                <w:rFonts w:ascii="Arial" w:hAnsi="Arial" w:cs="FrankRuehl"/>
                <w:sz w:val="28"/>
                <w:szCs w:val="28"/>
                <w:highlight w:val="yellow"/>
              </w:rPr>
            </w:pPr>
          </w:p>
        </w:tc>
      </w:tr>
      <w:tr w:rsidR="002914D6">
        <w:trPr>
          <w:jc w:val="center"/>
        </w:trPr>
        <w:sdt>
          <w:sdtPr>
            <w:rPr>
              <w:rFonts w:ascii="Arial" w:hAnsi="Arial"/>
              <w:b/>
              <w:bCs/>
              <w:noProof w:val="0"/>
              <w:sz w:val="26"/>
              <w:szCs w:val="26"/>
            </w:rPr>
            <w:alias w:val="1180"/>
            <w:tag w:val="1180"/>
            <w:id w:val="108787784"/>
            <w:placeholder>
              <w:docPart w:val="31A55F6979184A8EB6F607B634EEB644"/>
            </w:placeholder>
            <w:showingPlcHdr/>
            <w:text w:multiLine="1"/>
          </w:sdtPr>
          <w:sdtEndPr/>
          <w:sdtContent>
            <w:tc>
              <w:tcPr>
                <w:tcW w:w="3249" w:type="dxa"/>
                <w:gridSpan w:val="2"/>
              </w:tcPr>
              <w:p w:rsidR="002914D6" w:rsidRDefault="00BD5B6B" w:rsidP="00BD5B6B">
                <w:pPr>
                  <w:bidi w:val="0"/>
                  <w:jc w:val="right"/>
                  <w:rPr>
                    <w:rFonts w:ascii="Arial" w:hAnsi="Arial"/>
                    <w:b/>
                    <w:bCs/>
                    <w:noProof w:val="0"/>
                    <w:sz w:val="26"/>
                    <w:szCs w:val="26"/>
                    <w:rtl/>
                  </w:rPr>
                </w:pPr>
                <w:r w:rsidRPr="00BD18F5">
                  <w:rPr>
                    <w:rStyle w:val="ac"/>
                    <w:b/>
                    <w:bCs/>
                    <w:color w:val="auto"/>
                    <w:rtl/>
                  </w:rPr>
                  <w:t>תובעים</w:t>
                </w:r>
              </w:p>
            </w:tc>
          </w:sdtContent>
        </w:sdt>
        <w:tc>
          <w:tcPr>
            <w:tcW w:w="5571" w:type="dxa"/>
          </w:tcPr>
          <w:p w:rsidR="002914D6" w:rsidRDefault="00BD5B6B" w:rsidP="00B1227B">
            <w:pPr>
              <w:rPr>
                <w:b/>
                <w:bCs/>
                <w:noProof w:val="0"/>
                <w:sz w:val="26"/>
                <w:szCs w:val="26"/>
              </w:rPr>
            </w:pPr>
            <w:r>
              <w:rPr>
                <w:b/>
                <w:bCs/>
                <w:noProof w:val="0"/>
                <w:sz w:val="26"/>
                <w:szCs w:val="26"/>
                <w:rtl/>
              </w:rPr>
              <w:t xml:space="preserve"> </w:t>
            </w:r>
            <w:sdt>
              <w:sdtPr>
                <w:rPr>
                  <w:b/>
                  <w:bCs/>
                  <w:noProof w:val="0"/>
                  <w:sz w:val="26"/>
                  <w:szCs w:val="26"/>
                  <w:rtl/>
                </w:rPr>
                <w:alias w:val="1462"/>
                <w:tag w:val="1462"/>
                <w:id w:val="-1109351581"/>
                <w:placeholder>
                  <w:docPart w:val="FA8313722632438DBA3F8DDF6CE94B00"/>
                </w:placeholder>
                <w:text w:multiLine="1"/>
              </w:sdtPr>
              <w:sdtEndPr/>
              <w:sdtContent>
                <w:r>
                  <w:rPr>
                    <w:rStyle w:val="ac"/>
                    <w:b/>
                    <w:bCs/>
                    <w:color w:val="auto"/>
                    <w:rtl/>
                  </w:rPr>
                  <w:t>1</w:t>
                </w:r>
              </w:sdtContent>
            </w:sdt>
            <w:r>
              <w:rPr>
                <w:rFonts w:hint="cs"/>
                <w:b/>
                <w:bCs/>
                <w:noProof w:val="0"/>
                <w:sz w:val="26"/>
                <w:szCs w:val="26"/>
                <w:rtl/>
              </w:rPr>
              <w:t>.</w:t>
            </w:r>
            <w:r w:rsidRPr="00B1227B">
              <w:rPr>
                <w:rFonts w:hint="cs"/>
                <w:b/>
                <w:bCs/>
                <w:noProof w:val="0"/>
                <w:sz w:val="26"/>
                <w:szCs w:val="26"/>
                <w:rtl/>
              </w:rPr>
              <w:t xml:space="preserve"> </w:t>
            </w:r>
            <w:r w:rsidR="00B1227B" w:rsidRPr="00B1227B">
              <w:rPr>
                <w:rStyle w:val="ac"/>
                <w:rFonts w:hint="cs"/>
                <w:b/>
                <w:bCs/>
                <w:color w:val="auto"/>
                <w:rtl/>
              </w:rPr>
              <w:t>אלמוני</w:t>
            </w:r>
          </w:p>
          <w:p w:rsidR="002914D6" w:rsidRDefault="00BD5B6B" w:rsidP="00B1227B">
            <w:pPr>
              <w:rPr>
                <w:b/>
                <w:bCs/>
                <w:noProof w:val="0"/>
                <w:sz w:val="26"/>
                <w:szCs w:val="26"/>
              </w:rPr>
            </w:pPr>
            <w:r>
              <w:rPr>
                <w:b/>
                <w:bCs/>
                <w:noProof w:val="0"/>
                <w:sz w:val="26"/>
                <w:szCs w:val="26"/>
                <w:rtl/>
              </w:rPr>
              <w:t xml:space="preserve"> </w:t>
            </w:r>
            <w:sdt>
              <w:sdtPr>
                <w:rPr>
                  <w:b/>
                  <w:bCs/>
                  <w:noProof w:val="0"/>
                  <w:sz w:val="26"/>
                  <w:szCs w:val="26"/>
                  <w:rtl/>
                </w:rPr>
                <w:alias w:val="1462"/>
                <w:tag w:val="1462"/>
                <w:id w:val="1182554517"/>
                <w:placeholder>
                  <w:docPart w:val="FA8313722632438DBA3F8DDF6CE94B00"/>
                </w:placeholder>
                <w:text w:multiLine="1"/>
              </w:sdtPr>
              <w:sdtEndPr/>
              <w:sdtContent>
                <w:r>
                  <w:rPr>
                    <w:rStyle w:val="ac"/>
                    <w:b/>
                    <w:bCs/>
                    <w:color w:val="auto"/>
                    <w:rtl/>
                  </w:rPr>
                  <w:t>2</w:t>
                </w:r>
              </w:sdtContent>
            </w:sdt>
            <w:r>
              <w:rPr>
                <w:rFonts w:hint="cs"/>
                <w:b/>
                <w:bCs/>
                <w:noProof w:val="0"/>
                <w:sz w:val="26"/>
                <w:szCs w:val="26"/>
                <w:rtl/>
              </w:rPr>
              <w:t xml:space="preserve">. </w:t>
            </w:r>
            <w:r w:rsidR="00B1227B" w:rsidRPr="00B1227B">
              <w:rPr>
                <w:rStyle w:val="ac"/>
                <w:rFonts w:hint="cs"/>
                <w:b/>
                <w:bCs/>
                <w:color w:val="auto"/>
                <w:rtl/>
              </w:rPr>
              <w:t>פלונית</w:t>
            </w:r>
            <w:r>
              <w:rPr>
                <w:rFonts w:hint="cs"/>
                <w:b/>
                <w:bCs/>
                <w:noProof w:val="0"/>
                <w:sz w:val="26"/>
                <w:szCs w:val="26"/>
                <w:rtl/>
              </w:rPr>
              <w:t xml:space="preserve"> </w:t>
            </w:r>
            <w:sdt>
              <w:sdtPr>
                <w:rPr>
                  <w:rFonts w:hint="cs"/>
                  <w:b/>
                  <w:bCs/>
                  <w:noProof w:val="0"/>
                  <w:sz w:val="26"/>
                  <w:szCs w:val="26"/>
                  <w:rtl/>
                </w:rPr>
                <w:alias w:val="2316"/>
                <w:tag w:val="2316"/>
                <w:id w:val="-1649356006"/>
                <w:text w:multiLine="1"/>
              </w:sdtPr>
              <w:sdtEndPr/>
              <w:sdtContent>
                <w:r w:rsidR="00A42EAF">
                  <w:rPr>
                    <w:b/>
                    <w:bCs/>
                    <w:noProof w:val="0"/>
                    <w:sz w:val="26"/>
                    <w:szCs w:val="26"/>
                    <w:rtl/>
                  </w:rPr>
                  <w:br/>
                </w:r>
                <w:r w:rsidR="00A42EAF">
                  <w:rPr>
                    <w:b/>
                    <w:bCs/>
                    <w:noProof w:val="0"/>
                    <w:sz w:val="26"/>
                    <w:szCs w:val="26"/>
                    <w:rtl/>
                  </w:rPr>
                  <w:br/>
                </w:r>
                <w:r w:rsidR="00A42EAF">
                  <w:rPr>
                    <w:rFonts w:hint="cs"/>
                    <w:b/>
                    <w:bCs/>
                    <w:noProof w:val="0"/>
                    <w:sz w:val="26"/>
                    <w:szCs w:val="26"/>
                    <w:rtl/>
                  </w:rPr>
                  <w:t>באמצעות ב"כ עו"ד זהר פשה אלון ו/או עו"ד משה בן דורי</w:t>
                </w:r>
              </w:sdtContent>
            </w:sdt>
          </w:p>
        </w:tc>
      </w:tr>
      <w:tr w:rsidR="002914D6">
        <w:trPr>
          <w:jc w:val="center"/>
        </w:trPr>
        <w:tc>
          <w:tcPr>
            <w:tcW w:w="8820" w:type="dxa"/>
            <w:gridSpan w:val="3"/>
          </w:tcPr>
          <w:p w:rsidR="002914D6" w:rsidRPr="00A42EAF"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D4761D">
            <w:pPr>
              <w:rPr>
                <w:rFonts w:ascii="Arial" w:hAnsi="Arial"/>
                <w:b/>
                <w:bCs/>
                <w:noProof w:val="0"/>
                <w:sz w:val="26"/>
                <w:szCs w:val="26"/>
              </w:rPr>
            </w:pPr>
            <w:sdt>
              <w:sdtPr>
                <w:rPr>
                  <w:rtl/>
                </w:rPr>
                <w:alias w:val="1184"/>
                <w:tag w:val="1184"/>
                <w:id w:val="1218863978"/>
                <w:text w:multiLine="1"/>
              </w:sdtPr>
              <w:sdtEndPr/>
              <w:sdtContent>
                <w:r w:rsidR="00BD18F5">
                  <w:rPr>
                    <w:rFonts w:ascii="Arial" w:hAnsi="Arial"/>
                    <w:b/>
                    <w:bCs/>
                    <w:noProof w:val="0"/>
                    <w:sz w:val="26"/>
                    <w:szCs w:val="26"/>
                    <w:rtl/>
                  </w:rPr>
                  <w:t>נתבעים</w:t>
                </w:r>
              </w:sdtContent>
            </w:sdt>
          </w:p>
        </w:tc>
        <w:tc>
          <w:tcPr>
            <w:tcW w:w="5571" w:type="dxa"/>
          </w:tcPr>
          <w:p w:rsidR="002914D6" w:rsidRDefault="00BD5B6B" w:rsidP="00B1227B">
            <w:pPr>
              <w:rPr>
                <w:b/>
                <w:bCs/>
                <w:noProof w:val="0"/>
                <w:sz w:val="26"/>
                <w:szCs w:val="26"/>
                <w:rtl/>
              </w:rPr>
            </w:pPr>
            <w:r>
              <w:rPr>
                <w:b/>
                <w:bCs/>
                <w:noProof w:val="0"/>
                <w:sz w:val="26"/>
                <w:szCs w:val="26"/>
                <w:rtl/>
              </w:rPr>
              <w:t xml:space="preserve"> </w:t>
            </w:r>
            <w:sdt>
              <w:sdtPr>
                <w:rPr>
                  <w:b/>
                  <w:bCs/>
                  <w:noProof w:val="0"/>
                  <w:sz w:val="26"/>
                  <w:szCs w:val="26"/>
                  <w:rtl/>
                </w:rPr>
                <w:alias w:val="1571"/>
                <w:tag w:val="1571"/>
                <w:id w:val="715625760"/>
                <w:text w:multiLine="1"/>
              </w:sdtPr>
              <w:sdtEndPr/>
              <w:sdtContent>
                <w:r>
                  <w:rPr>
                    <w:rStyle w:val="ac"/>
                    <w:b/>
                    <w:bCs/>
                    <w:color w:val="auto"/>
                    <w:rtl/>
                  </w:rPr>
                  <w:t>1</w:t>
                </w:r>
              </w:sdtContent>
            </w:sdt>
            <w:r>
              <w:rPr>
                <w:rFonts w:hint="cs"/>
                <w:b/>
                <w:bCs/>
                <w:noProof w:val="0"/>
                <w:sz w:val="26"/>
                <w:szCs w:val="26"/>
                <w:rtl/>
              </w:rPr>
              <w:t xml:space="preserve">. </w:t>
            </w:r>
            <w:sdt>
              <w:sdtPr>
                <w:rPr>
                  <w:rFonts w:hint="cs"/>
                  <w:b/>
                  <w:bCs/>
                  <w:noProof w:val="0"/>
                  <w:sz w:val="26"/>
                  <w:szCs w:val="26"/>
                  <w:rtl/>
                </w:rPr>
                <w:alias w:val="1486"/>
                <w:tag w:val="1486"/>
                <w:id w:val="-1492704729"/>
                <w:text w:multiLine="1"/>
              </w:sdtPr>
              <w:sdtEndPr/>
              <w:sdtContent>
                <w:r w:rsidR="00B1227B" w:rsidRPr="00B1227B">
                  <w:rPr>
                    <w:rStyle w:val="ac"/>
                    <w:rFonts w:hint="cs"/>
                    <w:b/>
                    <w:bCs/>
                    <w:color w:val="auto"/>
                    <w:rtl/>
                  </w:rPr>
                  <w:t>אלמונית</w:t>
                </w:r>
              </w:sdtContent>
            </w:sdt>
            <w:r>
              <w:rPr>
                <w:rFonts w:hint="cs"/>
                <w:b/>
                <w:bCs/>
                <w:noProof w:val="0"/>
                <w:sz w:val="26"/>
                <w:szCs w:val="26"/>
                <w:rtl/>
              </w:rPr>
              <w:t xml:space="preserve">, </w:t>
            </w:r>
          </w:p>
          <w:p w:rsidR="002914D6" w:rsidRDefault="00BD5B6B" w:rsidP="00B1227B">
            <w:pPr>
              <w:rPr>
                <w:b/>
                <w:bCs/>
                <w:noProof w:val="0"/>
                <w:sz w:val="26"/>
                <w:szCs w:val="26"/>
                <w:rtl/>
              </w:rPr>
            </w:pPr>
            <w:r>
              <w:rPr>
                <w:b/>
                <w:bCs/>
                <w:noProof w:val="0"/>
                <w:sz w:val="26"/>
                <w:szCs w:val="26"/>
                <w:rtl/>
              </w:rPr>
              <w:t xml:space="preserve"> </w:t>
            </w:r>
            <w:sdt>
              <w:sdtPr>
                <w:rPr>
                  <w:b/>
                  <w:bCs/>
                  <w:noProof w:val="0"/>
                  <w:sz w:val="26"/>
                  <w:szCs w:val="26"/>
                  <w:rtl/>
                </w:rPr>
                <w:alias w:val="1571"/>
                <w:tag w:val="1571"/>
                <w:id w:val="-2050285544"/>
                <w:text w:multiLine="1"/>
              </w:sdtPr>
              <w:sdtEndPr/>
              <w:sdtContent>
                <w:r>
                  <w:rPr>
                    <w:rStyle w:val="ac"/>
                    <w:b/>
                    <w:bCs/>
                    <w:color w:val="auto"/>
                    <w:rtl/>
                  </w:rPr>
                  <w:t>2</w:t>
                </w:r>
              </w:sdtContent>
            </w:sdt>
            <w:r>
              <w:rPr>
                <w:rFonts w:hint="cs"/>
                <w:b/>
                <w:bCs/>
                <w:noProof w:val="0"/>
                <w:sz w:val="26"/>
                <w:szCs w:val="26"/>
                <w:rtl/>
              </w:rPr>
              <w:t xml:space="preserve">. </w:t>
            </w:r>
            <w:sdt>
              <w:sdtPr>
                <w:rPr>
                  <w:rFonts w:hint="cs"/>
                  <w:b/>
                  <w:bCs/>
                  <w:noProof w:val="0"/>
                  <w:sz w:val="26"/>
                  <w:szCs w:val="26"/>
                  <w:rtl/>
                </w:rPr>
                <w:alias w:val="1486"/>
                <w:tag w:val="1486"/>
                <w:id w:val="2061054606"/>
                <w:text w:multiLine="1"/>
              </w:sdtPr>
              <w:sdtEndPr/>
              <w:sdtContent>
                <w:r w:rsidR="00B1227B">
                  <w:rPr>
                    <w:rStyle w:val="ac"/>
                    <w:rFonts w:hint="cs"/>
                    <w:rtl/>
                  </w:rPr>
                  <w:t>פלמונית</w:t>
                </w:r>
              </w:sdtContent>
            </w:sdt>
            <w:r>
              <w:rPr>
                <w:rFonts w:hint="cs"/>
                <w:b/>
                <w:bCs/>
                <w:noProof w:val="0"/>
                <w:sz w:val="26"/>
                <w:szCs w:val="26"/>
                <w:rtl/>
              </w:rPr>
              <w:t xml:space="preserve">, </w:t>
            </w:r>
          </w:p>
          <w:p w:rsidR="002914D6" w:rsidRDefault="00BD5B6B" w:rsidP="00B1227B">
            <w:pPr>
              <w:rPr>
                <w:b/>
                <w:bCs/>
                <w:noProof w:val="0"/>
                <w:sz w:val="26"/>
                <w:szCs w:val="26"/>
                <w:rtl/>
              </w:rPr>
            </w:pPr>
            <w:r>
              <w:rPr>
                <w:b/>
                <w:bCs/>
                <w:noProof w:val="0"/>
                <w:sz w:val="26"/>
                <w:szCs w:val="26"/>
                <w:rtl/>
              </w:rPr>
              <w:t xml:space="preserve"> </w:t>
            </w:r>
            <w:sdt>
              <w:sdtPr>
                <w:rPr>
                  <w:b/>
                  <w:bCs/>
                  <w:noProof w:val="0"/>
                  <w:sz w:val="26"/>
                  <w:szCs w:val="26"/>
                  <w:rtl/>
                </w:rPr>
                <w:alias w:val="1571"/>
                <w:tag w:val="1571"/>
                <w:id w:val="-1458643663"/>
                <w:text w:multiLine="1"/>
              </w:sdtPr>
              <w:sdtEndPr/>
              <w:sdtContent>
                <w:r>
                  <w:rPr>
                    <w:rStyle w:val="ac"/>
                    <w:b/>
                    <w:bCs/>
                    <w:color w:val="auto"/>
                    <w:rtl/>
                  </w:rPr>
                  <w:t>3</w:t>
                </w:r>
              </w:sdtContent>
            </w:sdt>
            <w:r>
              <w:rPr>
                <w:rFonts w:hint="cs"/>
                <w:b/>
                <w:bCs/>
                <w:noProof w:val="0"/>
                <w:sz w:val="26"/>
                <w:szCs w:val="26"/>
                <w:rtl/>
              </w:rPr>
              <w:t xml:space="preserve">. </w:t>
            </w:r>
            <w:sdt>
              <w:sdtPr>
                <w:rPr>
                  <w:rFonts w:hint="cs"/>
                  <w:b/>
                  <w:bCs/>
                  <w:noProof w:val="0"/>
                  <w:sz w:val="26"/>
                  <w:szCs w:val="26"/>
                  <w:rtl/>
                </w:rPr>
                <w:alias w:val="1486"/>
                <w:tag w:val="1486"/>
                <w:id w:val="295966146"/>
                <w:text w:multiLine="1"/>
              </w:sdtPr>
              <w:sdtEndPr/>
              <w:sdtContent>
                <w:r w:rsidR="00B1227B">
                  <w:rPr>
                    <w:rStyle w:val="ac"/>
                    <w:rFonts w:hint="cs"/>
                    <w:rtl/>
                  </w:rPr>
                  <w:t>פלמונית</w:t>
                </w:r>
              </w:sdtContent>
            </w:sdt>
            <w:r>
              <w:rPr>
                <w:rFonts w:hint="cs"/>
                <w:b/>
                <w:bCs/>
                <w:noProof w:val="0"/>
                <w:sz w:val="26"/>
                <w:szCs w:val="26"/>
                <w:rtl/>
              </w:rPr>
              <w:t xml:space="preserve">, </w:t>
            </w:r>
          </w:p>
          <w:p w:rsidR="002914D6" w:rsidRDefault="00BD5B6B" w:rsidP="00B1227B">
            <w:pPr>
              <w:rPr>
                <w:b/>
                <w:bCs/>
                <w:noProof w:val="0"/>
                <w:sz w:val="26"/>
                <w:szCs w:val="26"/>
                <w:rtl/>
              </w:rPr>
            </w:pPr>
            <w:r>
              <w:rPr>
                <w:b/>
                <w:bCs/>
                <w:noProof w:val="0"/>
                <w:sz w:val="26"/>
                <w:szCs w:val="26"/>
                <w:rtl/>
              </w:rPr>
              <w:t xml:space="preserve"> </w:t>
            </w:r>
            <w:sdt>
              <w:sdtPr>
                <w:rPr>
                  <w:b/>
                  <w:bCs/>
                  <w:noProof w:val="0"/>
                  <w:sz w:val="26"/>
                  <w:szCs w:val="26"/>
                  <w:rtl/>
                </w:rPr>
                <w:alias w:val="1571"/>
                <w:tag w:val="1571"/>
                <w:id w:val="1306201465"/>
                <w:text w:multiLine="1"/>
              </w:sdtPr>
              <w:sdtEndPr/>
              <w:sdtContent>
                <w:r>
                  <w:rPr>
                    <w:rStyle w:val="ac"/>
                    <w:b/>
                    <w:bCs/>
                    <w:color w:val="auto"/>
                    <w:rtl/>
                  </w:rPr>
                  <w:t>4</w:t>
                </w:r>
              </w:sdtContent>
            </w:sdt>
            <w:r>
              <w:rPr>
                <w:rFonts w:hint="cs"/>
                <w:b/>
                <w:bCs/>
                <w:noProof w:val="0"/>
                <w:sz w:val="26"/>
                <w:szCs w:val="26"/>
                <w:rtl/>
              </w:rPr>
              <w:t xml:space="preserve">. </w:t>
            </w:r>
            <w:sdt>
              <w:sdtPr>
                <w:rPr>
                  <w:rFonts w:hint="cs"/>
                  <w:b/>
                  <w:bCs/>
                  <w:noProof w:val="0"/>
                  <w:sz w:val="26"/>
                  <w:szCs w:val="26"/>
                  <w:rtl/>
                </w:rPr>
                <w:alias w:val="1486"/>
                <w:tag w:val="1486"/>
                <w:id w:val="603846649"/>
                <w:text w:multiLine="1"/>
              </w:sdtPr>
              <w:sdtEndPr/>
              <w:sdtContent>
                <w:r w:rsidR="00B1227B">
                  <w:rPr>
                    <w:rStyle w:val="ac"/>
                    <w:rFonts w:hint="cs"/>
                    <w:rtl/>
                  </w:rPr>
                  <w:t>פלוני</w:t>
                </w:r>
              </w:sdtContent>
            </w:sdt>
            <w:r>
              <w:rPr>
                <w:rFonts w:hint="cs"/>
                <w:b/>
                <w:bCs/>
                <w:noProof w:val="0"/>
                <w:sz w:val="26"/>
                <w:szCs w:val="26"/>
                <w:rtl/>
              </w:rPr>
              <w:t xml:space="preserve">, </w:t>
            </w:r>
          </w:p>
          <w:p w:rsidR="002914D6" w:rsidRDefault="00BD5B6B" w:rsidP="00B1227B">
            <w:pPr>
              <w:rPr>
                <w:b/>
                <w:bCs/>
                <w:noProof w:val="0"/>
                <w:sz w:val="26"/>
                <w:szCs w:val="26"/>
                <w:rtl/>
              </w:rPr>
            </w:pPr>
            <w:r>
              <w:rPr>
                <w:b/>
                <w:bCs/>
                <w:noProof w:val="0"/>
                <w:sz w:val="26"/>
                <w:szCs w:val="26"/>
                <w:rtl/>
              </w:rPr>
              <w:t xml:space="preserve"> </w:t>
            </w:r>
            <w:sdt>
              <w:sdtPr>
                <w:rPr>
                  <w:b/>
                  <w:bCs/>
                  <w:noProof w:val="0"/>
                  <w:sz w:val="26"/>
                  <w:szCs w:val="26"/>
                  <w:rtl/>
                </w:rPr>
                <w:alias w:val="1571"/>
                <w:tag w:val="1571"/>
                <w:id w:val="522067863"/>
                <w:text w:multiLine="1"/>
              </w:sdtPr>
              <w:sdtEndPr/>
              <w:sdtContent>
                <w:r>
                  <w:rPr>
                    <w:rStyle w:val="ac"/>
                    <w:b/>
                    <w:bCs/>
                    <w:color w:val="auto"/>
                    <w:rtl/>
                  </w:rPr>
                  <w:t>5</w:t>
                </w:r>
              </w:sdtContent>
            </w:sdt>
            <w:r>
              <w:rPr>
                <w:rFonts w:hint="cs"/>
                <w:b/>
                <w:bCs/>
                <w:noProof w:val="0"/>
                <w:sz w:val="26"/>
                <w:szCs w:val="26"/>
                <w:rtl/>
              </w:rPr>
              <w:t xml:space="preserve">. </w:t>
            </w:r>
            <w:sdt>
              <w:sdtPr>
                <w:rPr>
                  <w:rFonts w:hint="cs"/>
                  <w:b/>
                  <w:bCs/>
                  <w:noProof w:val="0"/>
                  <w:sz w:val="26"/>
                  <w:szCs w:val="26"/>
                  <w:rtl/>
                </w:rPr>
                <w:alias w:val="1486"/>
                <w:tag w:val="1486"/>
                <w:id w:val="634534751"/>
                <w:text w:multiLine="1"/>
              </w:sdtPr>
              <w:sdtEndPr/>
              <w:sdtContent>
                <w:r w:rsidR="00B1227B">
                  <w:rPr>
                    <w:rStyle w:val="ac"/>
                    <w:rFonts w:hint="cs"/>
                    <w:rtl/>
                  </w:rPr>
                  <w:t>פלמונית</w:t>
                </w:r>
              </w:sdtContent>
            </w:sdt>
            <w:r>
              <w:rPr>
                <w:rFonts w:hint="cs"/>
                <w:b/>
                <w:bCs/>
                <w:noProof w:val="0"/>
                <w:sz w:val="26"/>
                <w:szCs w:val="26"/>
                <w:rtl/>
              </w:rPr>
              <w:t xml:space="preserve">, </w:t>
            </w:r>
            <w:sdt>
              <w:sdtPr>
                <w:rPr>
                  <w:rFonts w:hint="cs"/>
                  <w:b/>
                  <w:bCs/>
                  <w:noProof w:val="0"/>
                  <w:sz w:val="26"/>
                  <w:szCs w:val="26"/>
                  <w:rtl/>
                </w:rPr>
                <w:alias w:val="2317"/>
                <w:tag w:val="2317"/>
                <w:id w:val="-272323392"/>
                <w:showingPlcHdr/>
                <w:text w:multiLine="1"/>
              </w:sdtPr>
              <w:sdtEndPr/>
              <w:sdtContent>
                <w:r w:rsidR="00B1227B">
                  <w:rPr>
                    <w:b/>
                    <w:bCs/>
                    <w:noProof w:val="0"/>
                    <w:sz w:val="26"/>
                    <w:szCs w:val="26"/>
                    <w:rtl/>
                  </w:rPr>
                  <w:t xml:space="preserve">     </w:t>
                </w:r>
              </w:sdtContent>
            </w:sdt>
            <w:r>
              <w:rPr>
                <w:rFonts w:hint="cs"/>
                <w:b/>
                <w:bCs/>
                <w:noProof w:val="0"/>
                <w:sz w:val="26"/>
                <w:szCs w:val="26"/>
                <w:rtl/>
              </w:rPr>
              <w:t xml:space="preserve"> </w:t>
            </w:r>
            <w:r>
              <w:rPr>
                <w:b/>
                <w:bCs/>
                <w:noProof w:val="0"/>
                <w:sz w:val="26"/>
                <w:szCs w:val="26"/>
                <w:rtl/>
              </w:rPr>
              <w:t xml:space="preserve"> </w:t>
            </w:r>
            <w:sdt>
              <w:sdtPr>
                <w:rPr>
                  <w:b/>
                  <w:bCs/>
                  <w:noProof w:val="0"/>
                  <w:sz w:val="26"/>
                  <w:szCs w:val="26"/>
                  <w:rtl/>
                </w:rPr>
                <w:alias w:val="2318"/>
                <w:tag w:val="2318"/>
                <w:id w:val="-1244786341"/>
                <w:text w:multiLine="1"/>
              </w:sdtPr>
              <w:sdtEndPr/>
              <w:sdtContent>
                <w:r w:rsidR="00A42EAF">
                  <w:rPr>
                    <w:rStyle w:val="ac"/>
                    <w:b/>
                    <w:bCs/>
                    <w:color w:val="auto"/>
                    <w:rtl/>
                  </w:rPr>
                  <w:br/>
                </w:r>
                <w:r w:rsidR="00A42EAF">
                  <w:rPr>
                    <w:rFonts w:hint="cs"/>
                    <w:b/>
                    <w:bCs/>
                    <w:noProof w:val="0"/>
                    <w:sz w:val="26"/>
                    <w:szCs w:val="26"/>
                    <w:rtl/>
                  </w:rPr>
                  <w:t>באמצעות ב"כ עו"ד ליהיא כהן דמבינסקי</w:t>
                </w:r>
              </w:sdtContent>
            </w:sdt>
          </w:p>
        </w:tc>
      </w:tr>
    </w:tbl>
    <w:p w:rsidR="002914D6" w:rsidRPr="00A42EAF"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rsidP="00A42EAF">
            <w:pPr>
              <w:bidi w:val="0"/>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A42EAF" w:rsidRDefault="00A42EAF" w:rsidP="00A42EAF">
            <w:pPr>
              <w:bidi w:val="0"/>
              <w:jc w:val="center"/>
              <w:rPr>
                <w:rFonts w:ascii="Arial" w:hAnsi="Arial"/>
                <w:b/>
                <w:bCs/>
                <w:noProof w:val="0"/>
                <w:sz w:val="28"/>
                <w:szCs w:val="28"/>
                <w:u w:val="single"/>
                <w:rtl/>
              </w:rPr>
            </w:pPr>
          </w:p>
        </w:tc>
      </w:tr>
    </w:tbl>
    <w:p w:rsidR="00A42EAF" w:rsidRDefault="00A42EAF" w:rsidP="00A42EAF">
      <w:pPr>
        <w:spacing w:line="360" w:lineRule="auto"/>
        <w:jc w:val="both"/>
        <w:rPr>
          <w:rFonts w:ascii="David" w:hAnsi="David"/>
          <w:noProof w:val="0"/>
        </w:rPr>
      </w:pPr>
      <w:r>
        <w:rPr>
          <w:rFonts w:ascii="David" w:hAnsi="David"/>
          <w:rtl/>
        </w:rPr>
        <w:t>תובענה זו עניינה מתן סעד הצהרתי בדבר פרשנות צוואה.</w:t>
      </w:r>
    </w:p>
    <w:p w:rsidR="00A42EAF" w:rsidRDefault="00A42EAF" w:rsidP="00A42EAF">
      <w:pPr>
        <w:spacing w:line="360" w:lineRule="auto"/>
        <w:jc w:val="both"/>
        <w:rPr>
          <w:rFonts w:ascii="David" w:hAnsi="David"/>
          <w:rtl/>
        </w:rPr>
      </w:pPr>
    </w:p>
    <w:p w:rsidR="00A42EAF" w:rsidRDefault="00A42EAF" w:rsidP="00A42EAF">
      <w:pPr>
        <w:spacing w:line="360" w:lineRule="auto"/>
        <w:jc w:val="both"/>
        <w:rPr>
          <w:rFonts w:ascii="David" w:hAnsi="David"/>
          <w:b/>
          <w:bCs/>
          <w:rtl/>
        </w:rPr>
      </w:pPr>
      <w:r>
        <w:rPr>
          <w:rFonts w:ascii="David" w:hAnsi="David"/>
          <w:b/>
          <w:bCs/>
          <w:rtl/>
        </w:rPr>
        <w:t>רקע עובדתי ודיוני:</w:t>
      </w:r>
    </w:p>
    <w:p w:rsidR="00A42EAF" w:rsidRDefault="00A42EAF" w:rsidP="00A42EAF">
      <w:pPr>
        <w:spacing w:line="360" w:lineRule="auto"/>
        <w:jc w:val="both"/>
        <w:rPr>
          <w:rFonts w:ascii="David" w:hAnsi="David"/>
          <w:rtl/>
        </w:rPr>
      </w:pPr>
    </w:p>
    <w:p w:rsidR="00A42EAF" w:rsidRDefault="00A42EAF" w:rsidP="00B1227B">
      <w:pPr>
        <w:numPr>
          <w:ilvl w:val="0"/>
          <w:numId w:val="1"/>
        </w:numPr>
        <w:spacing w:line="360" w:lineRule="auto"/>
        <w:contextualSpacing/>
        <w:jc w:val="both"/>
        <w:rPr>
          <w:rFonts w:ascii="David" w:eastAsia="Calibri" w:hAnsi="David"/>
        </w:rPr>
      </w:pPr>
      <w:r>
        <w:rPr>
          <w:rFonts w:ascii="David" w:eastAsia="Calibri" w:hAnsi="David"/>
          <w:rtl/>
        </w:rPr>
        <w:t>התובעים 1-2 והנתבעים 2-</w:t>
      </w:r>
      <w:r w:rsidR="00B1227B">
        <w:rPr>
          <w:rFonts w:ascii="David" w:eastAsia="Calibri" w:hAnsi="David"/>
          <w:rtl/>
        </w:rPr>
        <w:t xml:space="preserve">5 הינם ילדיהם של המנוח </w:t>
      </w:r>
      <w:r w:rsidR="00B1227B">
        <w:rPr>
          <w:rFonts w:ascii="David" w:eastAsia="Calibri" w:hAnsi="David" w:hint="cs"/>
        </w:rPr>
        <w:t>XXX</w:t>
      </w:r>
      <w:r>
        <w:rPr>
          <w:rFonts w:ascii="David" w:eastAsia="Calibri" w:hAnsi="David"/>
          <w:rtl/>
        </w:rPr>
        <w:t xml:space="preserve"> ז"ל (להלן: </w:t>
      </w:r>
      <w:r>
        <w:rPr>
          <w:rFonts w:ascii="David" w:eastAsia="Calibri" w:hAnsi="David"/>
          <w:b/>
          <w:bCs/>
          <w:rtl/>
        </w:rPr>
        <w:t>"המנוח</w:t>
      </w:r>
      <w:r>
        <w:rPr>
          <w:rFonts w:ascii="David" w:eastAsia="Calibri" w:hAnsi="David"/>
          <w:rtl/>
        </w:rPr>
        <w:t>") ושל הנתבעת 1.</w:t>
      </w:r>
    </w:p>
    <w:p w:rsidR="00A42EAF" w:rsidRDefault="00A42EAF" w:rsidP="00A42EAF">
      <w:pPr>
        <w:spacing w:line="360" w:lineRule="auto"/>
        <w:ind w:left="785"/>
        <w:contextualSpacing/>
        <w:rPr>
          <w:rFonts w:ascii="David" w:eastAsia="Calibri" w:hAnsi="David"/>
        </w:rPr>
      </w:pPr>
    </w:p>
    <w:p w:rsidR="00A42EAF" w:rsidRDefault="00A42EAF" w:rsidP="00A42EAF">
      <w:pPr>
        <w:numPr>
          <w:ilvl w:val="0"/>
          <w:numId w:val="1"/>
        </w:numPr>
        <w:spacing w:line="360" w:lineRule="auto"/>
        <w:contextualSpacing/>
        <w:rPr>
          <w:rFonts w:ascii="David" w:eastAsia="Calibri" w:hAnsi="David"/>
        </w:rPr>
      </w:pPr>
      <w:r>
        <w:rPr>
          <w:rFonts w:ascii="David" w:eastAsia="Calibri" w:hAnsi="David"/>
          <w:rtl/>
        </w:rPr>
        <w:t>המנוח והנתבעת 1 היו נשואים משך 52 שנים.</w:t>
      </w:r>
    </w:p>
    <w:p w:rsidR="00A42EAF" w:rsidRDefault="00A42EAF" w:rsidP="00A42EAF">
      <w:pPr>
        <w:spacing w:line="360" w:lineRule="auto"/>
        <w:contextualSpacing/>
        <w:rPr>
          <w:rFonts w:ascii="David" w:eastAsia="Calibri" w:hAnsi="David"/>
        </w:rPr>
      </w:pPr>
    </w:p>
    <w:p w:rsidR="00A42EAF" w:rsidRDefault="00A42EAF" w:rsidP="00A42EAF">
      <w:pPr>
        <w:numPr>
          <w:ilvl w:val="0"/>
          <w:numId w:val="1"/>
        </w:numPr>
        <w:spacing w:line="360" w:lineRule="auto"/>
        <w:contextualSpacing/>
        <w:rPr>
          <w:rFonts w:ascii="David" w:eastAsia="Calibri" w:hAnsi="David"/>
        </w:rPr>
      </w:pPr>
      <w:r>
        <w:rPr>
          <w:rFonts w:ascii="David" w:eastAsia="Calibri" w:hAnsi="David"/>
          <w:rtl/>
        </w:rPr>
        <w:t xml:space="preserve">במהלך נישואיהם צברו המנוח והנתבעת 1 מספר נכסי מקרקעין, לרבות, </w:t>
      </w:r>
      <w:r w:rsidR="00B1227B">
        <w:rPr>
          <w:rFonts w:ascii="David" w:eastAsia="Calibri" w:hAnsi="David"/>
          <w:rtl/>
        </w:rPr>
        <w:t xml:space="preserve">בית מגורים ובית ברחוב </w:t>
      </w:r>
      <w:r w:rsidR="00B1227B">
        <w:rPr>
          <w:rFonts w:ascii="David" w:eastAsia="Calibri" w:hAnsi="David" w:hint="cs"/>
          <w:rtl/>
        </w:rPr>
        <w:t>ג'</w:t>
      </w:r>
      <w:r w:rsidR="00B1227B">
        <w:rPr>
          <w:rFonts w:ascii="David" w:eastAsia="Calibri" w:hAnsi="David"/>
          <w:rtl/>
        </w:rPr>
        <w:t xml:space="preserve"> ב</w:t>
      </w:r>
      <w:r w:rsidR="00B1227B">
        <w:rPr>
          <w:rFonts w:ascii="David" w:eastAsia="Calibri" w:hAnsi="David" w:hint="cs"/>
          <w:rtl/>
        </w:rPr>
        <w:t>ת.</w:t>
      </w:r>
      <w:r>
        <w:rPr>
          <w:rFonts w:ascii="David" w:eastAsia="Calibri" w:hAnsi="David"/>
          <w:rtl/>
        </w:rPr>
        <w:t xml:space="preserve"> (להלן: "</w:t>
      </w:r>
      <w:r w:rsidR="00B1227B">
        <w:rPr>
          <w:rFonts w:ascii="David" w:eastAsia="Calibri" w:hAnsi="David"/>
          <w:b/>
          <w:bCs/>
          <w:rtl/>
        </w:rPr>
        <w:t>הבית בג</w:t>
      </w:r>
      <w:r>
        <w:rPr>
          <w:rFonts w:ascii="David" w:eastAsia="Calibri" w:hAnsi="David"/>
          <w:b/>
          <w:bCs/>
          <w:rtl/>
        </w:rPr>
        <w:t>")</w:t>
      </w:r>
      <w:r>
        <w:rPr>
          <w:rFonts w:ascii="David" w:eastAsia="Calibri" w:hAnsi="David"/>
          <w:rtl/>
        </w:rPr>
        <w:t>.</w:t>
      </w:r>
    </w:p>
    <w:p w:rsidR="00A42EAF" w:rsidRDefault="00A42EAF" w:rsidP="00B1227B">
      <w:pPr>
        <w:spacing w:line="360" w:lineRule="auto"/>
        <w:ind w:left="785"/>
        <w:contextualSpacing/>
        <w:jc w:val="both"/>
        <w:rPr>
          <w:rFonts w:ascii="David" w:eastAsia="Calibri" w:hAnsi="David"/>
          <w:rtl/>
        </w:rPr>
      </w:pPr>
      <w:r>
        <w:rPr>
          <w:rFonts w:ascii="David" w:eastAsia="Calibri" w:hAnsi="David"/>
          <w:rtl/>
        </w:rPr>
        <w:t>וכן צברו מחצית ממניות חברת "</w:t>
      </w:r>
      <w:r w:rsidR="00B1227B">
        <w:rPr>
          <w:rFonts w:ascii="David" w:eastAsia="Calibri" w:hAnsi="David" w:hint="cs"/>
        </w:rPr>
        <w:t>XXX</w:t>
      </w:r>
      <w:r>
        <w:rPr>
          <w:rFonts w:ascii="David" w:eastAsia="Calibri" w:hAnsi="David"/>
          <w:rtl/>
        </w:rPr>
        <w:t>" (להלן: "</w:t>
      </w:r>
      <w:r>
        <w:rPr>
          <w:rFonts w:ascii="David" w:eastAsia="Calibri" w:hAnsi="David"/>
          <w:b/>
          <w:bCs/>
          <w:rtl/>
        </w:rPr>
        <w:t>החברה"</w:t>
      </w:r>
      <w:r>
        <w:rPr>
          <w:rFonts w:ascii="David" w:eastAsia="Calibri" w:hAnsi="David"/>
          <w:rtl/>
        </w:rPr>
        <w:t>), כאשר המחצית האחרת מוחזקת בידי יורשי של אחיו המנוח של המנוח.</w:t>
      </w:r>
    </w:p>
    <w:p w:rsidR="00A42EAF" w:rsidRDefault="00A42EAF" w:rsidP="00A42EAF">
      <w:pPr>
        <w:spacing w:line="360" w:lineRule="auto"/>
        <w:contextualSpacing/>
        <w:rPr>
          <w:rFonts w:ascii="David" w:eastAsia="Calibri" w:hAnsi="David"/>
        </w:rPr>
      </w:pPr>
    </w:p>
    <w:p w:rsidR="00A42EAF" w:rsidRDefault="00A42EAF" w:rsidP="00B1227B">
      <w:pPr>
        <w:numPr>
          <w:ilvl w:val="0"/>
          <w:numId w:val="1"/>
        </w:numPr>
        <w:spacing w:line="360" w:lineRule="auto"/>
        <w:contextualSpacing/>
        <w:jc w:val="both"/>
        <w:rPr>
          <w:rFonts w:ascii="David" w:eastAsia="Calibri" w:hAnsi="David"/>
        </w:rPr>
      </w:pPr>
      <w:r>
        <w:rPr>
          <w:rFonts w:ascii="David" w:eastAsia="Calibri" w:hAnsi="David"/>
          <w:rtl/>
        </w:rPr>
        <w:t>ביום 17.9.2014 ערכו המנוח והנתבעת 1 שתי צוואות הדדיות לפני הנוט</w:t>
      </w:r>
      <w:r w:rsidR="00B1227B">
        <w:rPr>
          <w:rFonts w:ascii="David" w:eastAsia="Calibri" w:hAnsi="David"/>
          <w:rtl/>
        </w:rPr>
        <w:t xml:space="preserve">ריון- עו"ד </w:t>
      </w:r>
      <w:r w:rsidR="00B1227B">
        <w:rPr>
          <w:rFonts w:ascii="David" w:eastAsia="Calibri" w:hAnsi="David" w:hint="cs"/>
          <w:rtl/>
        </w:rPr>
        <w:t xml:space="preserve">א.ל </w:t>
      </w:r>
      <w:r>
        <w:rPr>
          <w:rFonts w:ascii="David" w:eastAsia="Calibri" w:hAnsi="David"/>
          <w:rtl/>
        </w:rPr>
        <w:t>(להלן: "</w:t>
      </w:r>
      <w:r>
        <w:rPr>
          <w:rFonts w:ascii="David" w:eastAsia="Calibri" w:hAnsi="David"/>
          <w:b/>
          <w:bCs/>
          <w:rtl/>
        </w:rPr>
        <w:t>עורך הדין</w:t>
      </w:r>
      <w:r>
        <w:rPr>
          <w:rFonts w:ascii="David" w:eastAsia="Calibri" w:hAnsi="David"/>
          <w:rtl/>
        </w:rPr>
        <w:t>").</w:t>
      </w:r>
    </w:p>
    <w:p w:rsidR="00A42EAF" w:rsidRDefault="00A42EAF" w:rsidP="00A42EAF">
      <w:pPr>
        <w:spacing w:line="360" w:lineRule="auto"/>
        <w:ind w:left="785"/>
        <w:contextualSpacing/>
        <w:rPr>
          <w:rFonts w:ascii="David" w:eastAsia="Calibri" w:hAnsi="David"/>
        </w:rPr>
      </w:pPr>
    </w:p>
    <w:p w:rsidR="00A42EAF" w:rsidRDefault="00A42EAF" w:rsidP="00B1227B">
      <w:pPr>
        <w:numPr>
          <w:ilvl w:val="0"/>
          <w:numId w:val="1"/>
        </w:numPr>
        <w:spacing w:line="360" w:lineRule="auto"/>
        <w:contextualSpacing/>
        <w:jc w:val="both"/>
        <w:rPr>
          <w:rFonts w:ascii="David" w:eastAsia="Calibri" w:hAnsi="David"/>
        </w:rPr>
      </w:pPr>
      <w:r>
        <w:rPr>
          <w:rFonts w:ascii="David" w:eastAsia="Calibri" w:hAnsi="David"/>
          <w:rtl/>
        </w:rPr>
        <w:t>המנוח הלך לעולמו ביום 19.1.2015 וביום 26.5.2015 ניתן צו קיום צוואה ביחס לצוואת המנוח (להלן: "</w:t>
      </w:r>
      <w:r>
        <w:rPr>
          <w:rFonts w:ascii="David" w:eastAsia="Calibri" w:hAnsi="David"/>
          <w:b/>
          <w:bCs/>
          <w:rtl/>
        </w:rPr>
        <w:t>הצוואה</w:t>
      </w:r>
      <w:r>
        <w:rPr>
          <w:rFonts w:ascii="David" w:eastAsia="Calibri" w:hAnsi="David"/>
          <w:rtl/>
        </w:rPr>
        <w:t>").</w:t>
      </w:r>
    </w:p>
    <w:p w:rsidR="00A42EAF" w:rsidRDefault="00A42EAF" w:rsidP="00B1227B">
      <w:pPr>
        <w:numPr>
          <w:ilvl w:val="0"/>
          <w:numId w:val="1"/>
        </w:numPr>
        <w:spacing w:line="360" w:lineRule="auto"/>
        <w:contextualSpacing/>
        <w:jc w:val="both"/>
        <w:rPr>
          <w:rFonts w:ascii="David" w:eastAsia="Calibri" w:hAnsi="David"/>
        </w:rPr>
      </w:pPr>
      <w:r>
        <w:rPr>
          <w:rFonts w:ascii="David" w:eastAsia="Calibri" w:hAnsi="David"/>
          <w:rtl/>
        </w:rPr>
        <w:lastRenderedPageBreak/>
        <w:t>בסעיף 3 לצוואת המנוח צוין כי בהגדרת המונח "רכושי" נכללים: מחצית הזכויות בדירת המגורים ברחוב ב</w:t>
      </w:r>
      <w:r w:rsidR="00B1227B">
        <w:rPr>
          <w:rFonts w:ascii="David" w:eastAsia="Calibri" w:hAnsi="David" w:hint="cs"/>
          <w:rtl/>
        </w:rPr>
        <w:t>.</w:t>
      </w:r>
      <w:r>
        <w:rPr>
          <w:rFonts w:ascii="David" w:eastAsia="Calibri" w:hAnsi="David"/>
          <w:rtl/>
        </w:rPr>
        <w:t xml:space="preserve">  הזכויות בבית </w:t>
      </w:r>
      <w:r w:rsidR="00B1227B">
        <w:rPr>
          <w:rFonts w:ascii="David" w:eastAsia="Calibri" w:hAnsi="David" w:hint="cs"/>
          <w:rtl/>
        </w:rPr>
        <w:t>בג'</w:t>
      </w:r>
      <w:r>
        <w:rPr>
          <w:rFonts w:ascii="David" w:eastAsia="Calibri" w:hAnsi="David"/>
          <w:rtl/>
        </w:rPr>
        <w:t>, הבעלות במחצית המניות בחבר</w:t>
      </w:r>
      <w:r>
        <w:rPr>
          <w:rFonts w:ascii="David" w:eastAsia="Calibri" w:hAnsi="David" w:hint="cs"/>
          <w:rtl/>
        </w:rPr>
        <w:t>ה</w:t>
      </w:r>
      <w:r>
        <w:rPr>
          <w:rFonts w:ascii="David" w:eastAsia="Calibri" w:hAnsi="David"/>
          <w:rtl/>
        </w:rPr>
        <w:t xml:space="preserve"> (אשר הינה בעלים של 7 דירות מגורים ומחסן ברחוב </w:t>
      </w:r>
      <w:r w:rsidR="00B1227B">
        <w:rPr>
          <w:rFonts w:ascii="David" w:eastAsia="Calibri" w:hAnsi="David" w:hint="cs"/>
          <w:rtl/>
        </w:rPr>
        <w:t>א.)</w:t>
      </w:r>
      <w:r>
        <w:rPr>
          <w:rFonts w:ascii="David" w:eastAsia="Calibri" w:hAnsi="David"/>
          <w:rtl/>
        </w:rPr>
        <w:t>, מחצית הזכויות (כשאחי המנוח הבעלים של המחצית השניה) בארבעה נכסים שונים, מחצית זכויות במגרש, כספים וני"ע ותכולת דירת המגורים.</w:t>
      </w:r>
    </w:p>
    <w:p w:rsidR="00A42EAF" w:rsidRDefault="00A42EAF" w:rsidP="00A42EAF">
      <w:pPr>
        <w:spacing w:line="360" w:lineRule="auto"/>
        <w:ind w:left="785"/>
        <w:contextualSpacing/>
        <w:rPr>
          <w:rFonts w:ascii="David" w:eastAsia="Calibri" w:hAnsi="David"/>
        </w:rPr>
      </w:pPr>
    </w:p>
    <w:p w:rsidR="00A42EAF" w:rsidRDefault="00A42EAF" w:rsidP="00A42EAF">
      <w:pPr>
        <w:numPr>
          <w:ilvl w:val="0"/>
          <w:numId w:val="1"/>
        </w:numPr>
        <w:spacing w:line="360" w:lineRule="auto"/>
        <w:contextualSpacing/>
        <w:rPr>
          <w:rFonts w:ascii="David" w:eastAsia="Calibri" w:hAnsi="David"/>
        </w:rPr>
      </w:pPr>
      <w:r>
        <w:rPr>
          <w:rFonts w:ascii="David" w:eastAsia="Calibri" w:hAnsi="David"/>
          <w:rtl/>
        </w:rPr>
        <w:t>להלן הוראות הצוואה הרלוונטיות לענייננו:</w:t>
      </w:r>
    </w:p>
    <w:p w:rsidR="00A42EAF" w:rsidRDefault="00A42EAF" w:rsidP="00A42EAF">
      <w:pPr>
        <w:spacing w:line="360" w:lineRule="auto"/>
        <w:contextualSpacing/>
        <w:rPr>
          <w:rFonts w:ascii="David" w:eastAsia="Calibri" w:hAnsi="David"/>
        </w:rPr>
      </w:pPr>
    </w:p>
    <w:p w:rsidR="00A42EAF" w:rsidRDefault="00A42EAF" w:rsidP="00B1227B">
      <w:pPr>
        <w:spacing w:line="360" w:lineRule="auto"/>
        <w:ind w:left="720"/>
        <w:contextualSpacing/>
        <w:jc w:val="both"/>
        <w:rPr>
          <w:rFonts w:ascii="David" w:eastAsia="Calibri" w:hAnsi="David"/>
          <w:b/>
          <w:bCs/>
        </w:rPr>
      </w:pPr>
      <w:r>
        <w:rPr>
          <w:rFonts w:ascii="David" w:eastAsia="Calibri" w:hAnsi="David"/>
          <w:b/>
          <w:bCs/>
          <w:rtl/>
        </w:rPr>
        <w:t>"4. הנני מורה כי ביום פטירתי יועברו מלוא זכויותיי ברכושי ללא יוצא מן הכלל וכן כל</w:t>
      </w:r>
    </w:p>
    <w:p w:rsidR="00A42EAF" w:rsidRDefault="00A42EAF" w:rsidP="00B1227B">
      <w:pPr>
        <w:spacing w:line="360" w:lineRule="auto"/>
        <w:ind w:left="720"/>
        <w:contextualSpacing/>
        <w:jc w:val="both"/>
        <w:rPr>
          <w:rFonts w:ascii="David" w:eastAsia="Calibri" w:hAnsi="David"/>
          <w:b/>
          <w:bCs/>
          <w:rtl/>
        </w:rPr>
      </w:pPr>
      <w:r>
        <w:rPr>
          <w:rFonts w:ascii="David" w:eastAsia="Calibri" w:hAnsi="David"/>
          <w:b/>
          <w:bCs/>
          <w:rtl/>
        </w:rPr>
        <w:t xml:space="preserve">      רכוש נוסף שיש לי ושיהיה לי ביום פטירתי בכל מקום שהוא ללא יוצא מן הכלל</w:t>
      </w:r>
    </w:p>
    <w:p w:rsidR="00A42EAF" w:rsidRDefault="00A42EAF" w:rsidP="00B1227B">
      <w:pPr>
        <w:spacing w:line="360" w:lineRule="auto"/>
        <w:ind w:left="720"/>
        <w:contextualSpacing/>
        <w:rPr>
          <w:rFonts w:ascii="David" w:eastAsia="Calibri" w:hAnsi="David"/>
          <w:b/>
          <w:bCs/>
          <w:rtl/>
        </w:rPr>
      </w:pPr>
      <w:r>
        <w:rPr>
          <w:rFonts w:ascii="David" w:eastAsia="Calibri" w:hAnsi="David"/>
          <w:b/>
          <w:bCs/>
          <w:rtl/>
        </w:rPr>
        <w:t xml:space="preserve">     לבעלותה המליאה והיחידה של אשתי הטובה והנאמנה </w:t>
      </w:r>
      <w:r w:rsidR="00B1227B">
        <w:rPr>
          <w:rFonts w:ascii="David" w:eastAsia="Calibri" w:hAnsi="David" w:hint="cs"/>
          <w:b/>
          <w:bCs/>
          <w:rtl/>
        </w:rPr>
        <w:t>_____</w:t>
      </w:r>
      <w:r>
        <w:rPr>
          <w:rFonts w:ascii="David" w:eastAsia="Calibri" w:hAnsi="David"/>
          <w:b/>
          <w:bCs/>
          <w:rtl/>
        </w:rPr>
        <w:t xml:space="preserve"> </w:t>
      </w:r>
    </w:p>
    <w:p w:rsidR="00A42EAF" w:rsidRDefault="00A42EAF" w:rsidP="00A42EAF">
      <w:pPr>
        <w:spacing w:line="360" w:lineRule="auto"/>
        <w:ind w:left="720"/>
        <w:contextualSpacing/>
        <w:rPr>
          <w:rFonts w:ascii="David" w:eastAsia="Calibri" w:hAnsi="David"/>
          <w:rtl/>
        </w:rPr>
      </w:pPr>
      <w:r>
        <w:rPr>
          <w:rFonts w:ascii="David" w:eastAsia="Calibri" w:hAnsi="David"/>
          <w:b/>
          <w:bCs/>
          <w:rtl/>
        </w:rPr>
        <w:t xml:space="preserve">      המתגוררת עימי</w:t>
      </w:r>
      <w:r>
        <w:rPr>
          <w:rFonts w:ascii="David" w:eastAsia="Calibri" w:hAnsi="David"/>
          <w:rtl/>
        </w:rPr>
        <w:t>.</w:t>
      </w:r>
    </w:p>
    <w:p w:rsidR="00A42EAF" w:rsidRDefault="00A42EAF" w:rsidP="00B1227B">
      <w:pPr>
        <w:spacing w:line="360" w:lineRule="auto"/>
        <w:ind w:left="720"/>
        <w:contextualSpacing/>
        <w:jc w:val="both"/>
        <w:rPr>
          <w:rFonts w:ascii="David" w:eastAsia="Calibri" w:hAnsi="David"/>
          <w:b/>
          <w:bCs/>
          <w:rtl/>
        </w:rPr>
      </w:pPr>
      <w:r>
        <w:rPr>
          <w:rFonts w:ascii="David" w:eastAsia="Calibri" w:hAnsi="David"/>
          <w:b/>
          <w:bCs/>
          <w:rtl/>
        </w:rPr>
        <w:t>5</w:t>
      </w:r>
      <w:r>
        <w:rPr>
          <w:rFonts w:ascii="David" w:eastAsia="Calibri" w:hAnsi="David"/>
          <w:rtl/>
        </w:rPr>
        <w:t xml:space="preserve">. </w:t>
      </w:r>
      <w:r>
        <w:rPr>
          <w:rFonts w:ascii="David" w:eastAsia="Calibri" w:hAnsi="David"/>
          <w:b/>
          <w:bCs/>
          <w:rtl/>
        </w:rPr>
        <w:t>לא יהיה באמור בצוואה זו כדי להתפרש באופן שיהא בו כדי לפגוע בזכותה של אשתי,</w:t>
      </w:r>
    </w:p>
    <w:p w:rsidR="00A42EAF" w:rsidRDefault="00A42EAF" w:rsidP="00B1227B">
      <w:pPr>
        <w:spacing w:line="360" w:lineRule="auto"/>
        <w:ind w:left="720"/>
        <w:contextualSpacing/>
        <w:rPr>
          <w:rFonts w:ascii="David" w:eastAsia="Calibri" w:hAnsi="David"/>
          <w:b/>
          <w:bCs/>
          <w:rtl/>
        </w:rPr>
      </w:pPr>
      <w:r>
        <w:rPr>
          <w:rFonts w:ascii="David" w:eastAsia="Calibri" w:hAnsi="David"/>
          <w:b/>
          <w:bCs/>
          <w:rtl/>
        </w:rPr>
        <w:t xml:space="preserve">    </w:t>
      </w:r>
      <w:r w:rsidR="00B1227B">
        <w:rPr>
          <w:rFonts w:ascii="David" w:eastAsia="Calibri" w:hAnsi="David" w:hint="cs"/>
          <w:b/>
          <w:bCs/>
          <w:rtl/>
        </w:rPr>
        <w:t>_____</w:t>
      </w:r>
      <w:r>
        <w:rPr>
          <w:rFonts w:ascii="David" w:eastAsia="Calibri" w:hAnsi="David"/>
          <w:b/>
          <w:bCs/>
          <w:rtl/>
        </w:rPr>
        <w:t>, להמשיך להתגורר בדירת המגורים עד יומה האחרון.</w:t>
      </w:r>
    </w:p>
    <w:p w:rsidR="00A42EAF" w:rsidRDefault="00A42EAF" w:rsidP="00B1227B">
      <w:pPr>
        <w:spacing w:line="360" w:lineRule="auto"/>
        <w:ind w:left="720"/>
        <w:contextualSpacing/>
        <w:jc w:val="both"/>
        <w:rPr>
          <w:rFonts w:ascii="David" w:eastAsia="Calibri" w:hAnsi="David"/>
          <w:b/>
          <w:bCs/>
          <w:rtl/>
        </w:rPr>
      </w:pPr>
      <w:r>
        <w:rPr>
          <w:rFonts w:ascii="David" w:eastAsia="Calibri" w:hAnsi="David"/>
          <w:b/>
          <w:bCs/>
          <w:rtl/>
        </w:rPr>
        <w:t xml:space="preserve">6. במקרה וחו"ח אשתי </w:t>
      </w:r>
      <w:r w:rsidR="00B1227B">
        <w:rPr>
          <w:rFonts w:ascii="David" w:eastAsia="Calibri" w:hAnsi="David" w:hint="cs"/>
          <w:b/>
          <w:bCs/>
          <w:rtl/>
        </w:rPr>
        <w:t>____</w:t>
      </w:r>
      <w:r>
        <w:rPr>
          <w:rFonts w:ascii="David" w:eastAsia="Calibri" w:hAnsi="David"/>
          <w:b/>
          <w:bCs/>
          <w:rtl/>
        </w:rPr>
        <w:t xml:space="preserve"> לא תהיה בין החיים ביום מותי, אזי יחולק רכושי</w:t>
      </w:r>
    </w:p>
    <w:p w:rsidR="00A42EAF" w:rsidRDefault="00A42EAF" w:rsidP="00A42EAF">
      <w:pPr>
        <w:spacing w:line="360" w:lineRule="auto"/>
        <w:ind w:left="720"/>
        <w:contextualSpacing/>
        <w:rPr>
          <w:rFonts w:ascii="David" w:eastAsia="Calibri" w:hAnsi="David"/>
          <w:b/>
          <w:bCs/>
          <w:rtl/>
        </w:rPr>
      </w:pPr>
      <w:r>
        <w:rPr>
          <w:rFonts w:ascii="David" w:eastAsia="Calibri" w:hAnsi="David"/>
          <w:b/>
          <w:bCs/>
          <w:rtl/>
        </w:rPr>
        <w:t xml:space="preserve">     וינוהל כדלקמן:</w:t>
      </w:r>
    </w:p>
    <w:p w:rsidR="00A42EAF" w:rsidRDefault="00A42EAF" w:rsidP="00B1227B">
      <w:pPr>
        <w:pStyle w:val="ad"/>
        <w:numPr>
          <w:ilvl w:val="0"/>
          <w:numId w:val="2"/>
        </w:numPr>
        <w:spacing w:after="160" w:line="360" w:lineRule="auto"/>
        <w:rPr>
          <w:rFonts w:ascii="David" w:eastAsia="Calibri" w:hAnsi="David"/>
          <w:b/>
          <w:bCs/>
          <w:rtl/>
        </w:rPr>
      </w:pPr>
      <w:r>
        <w:rPr>
          <w:rFonts w:ascii="David" w:eastAsia="Calibri" w:hAnsi="David"/>
          <w:b/>
          <w:bCs/>
          <w:rtl/>
        </w:rPr>
        <w:t>הרכוש המפורט בסעיף 3ב לעיל, הנכס ב</w:t>
      </w:r>
      <w:r w:rsidR="00B1227B">
        <w:rPr>
          <w:rFonts w:ascii="David" w:eastAsia="Calibri" w:hAnsi="David" w:hint="cs"/>
          <w:b/>
          <w:bCs/>
          <w:rtl/>
        </w:rPr>
        <w:t>ג'</w:t>
      </w:r>
      <w:r>
        <w:rPr>
          <w:rFonts w:ascii="David" w:eastAsia="Calibri" w:hAnsi="David"/>
          <w:b/>
          <w:bCs/>
          <w:rtl/>
        </w:rPr>
        <w:t>, יחולק בחלקים שווים בין ארבעת ילדי:</w:t>
      </w:r>
    </w:p>
    <w:p w:rsidR="00A42EAF" w:rsidRDefault="00B1227B" w:rsidP="00A42EAF">
      <w:pPr>
        <w:pStyle w:val="ad"/>
        <w:spacing w:line="360" w:lineRule="auto"/>
        <w:ind w:left="1800"/>
        <w:rPr>
          <w:rFonts w:ascii="David" w:eastAsia="Calibri" w:hAnsi="David"/>
          <w:b/>
          <w:bCs/>
          <w:rtl/>
        </w:rPr>
      </w:pPr>
      <w:r>
        <w:rPr>
          <w:rFonts w:ascii="David" w:eastAsia="Calibri" w:hAnsi="David" w:hint="cs"/>
          <w:b/>
          <w:bCs/>
          <w:rtl/>
        </w:rPr>
        <w:t>(הנתבעים 2-5)</w:t>
      </w:r>
      <w:r w:rsidR="00A42EAF">
        <w:rPr>
          <w:rFonts w:ascii="David" w:eastAsia="Calibri" w:hAnsi="David"/>
          <w:b/>
          <w:bCs/>
          <w:rtl/>
        </w:rPr>
        <w:t xml:space="preserve">                                                           להם בלבד</w:t>
      </w:r>
    </w:p>
    <w:p w:rsidR="00A42EAF" w:rsidRDefault="00B1227B" w:rsidP="00B1227B">
      <w:pPr>
        <w:spacing w:line="360" w:lineRule="auto"/>
        <w:ind w:left="1440"/>
        <w:jc w:val="both"/>
        <w:rPr>
          <w:rFonts w:ascii="David" w:eastAsia="Calibri" w:hAnsi="David"/>
          <w:b/>
          <w:bCs/>
          <w:rtl/>
        </w:rPr>
      </w:pPr>
      <w:r>
        <w:rPr>
          <w:rFonts w:ascii="David" w:eastAsia="Calibri" w:hAnsi="David"/>
          <w:b/>
          <w:bCs/>
          <w:rtl/>
        </w:rPr>
        <w:t>אציין כי ביתי, מ</w:t>
      </w:r>
      <w:r>
        <w:rPr>
          <w:rFonts w:ascii="David" w:eastAsia="Calibri" w:hAnsi="David" w:hint="cs"/>
          <w:b/>
          <w:bCs/>
          <w:rtl/>
        </w:rPr>
        <w:t>'</w:t>
      </w:r>
      <w:r w:rsidR="00A42EAF">
        <w:rPr>
          <w:rFonts w:ascii="David" w:eastAsia="Calibri" w:hAnsi="David"/>
          <w:b/>
          <w:bCs/>
          <w:rtl/>
        </w:rPr>
        <w:t xml:space="preserve">, מתגוררת ביחד עם משפחתה בהרשאת אשתי </w:t>
      </w:r>
      <w:r>
        <w:rPr>
          <w:rFonts w:ascii="David" w:eastAsia="Calibri" w:hAnsi="David"/>
          <w:b/>
          <w:bCs/>
          <w:rtl/>
        </w:rPr>
        <w:t>והרשאתי כבת רשות חינם בנכס ב</w:t>
      </w:r>
      <w:r>
        <w:rPr>
          <w:rFonts w:ascii="David" w:eastAsia="Calibri" w:hAnsi="David" w:hint="cs"/>
          <w:b/>
          <w:bCs/>
          <w:rtl/>
        </w:rPr>
        <w:t>ג'</w:t>
      </w:r>
      <w:r w:rsidR="00A42EAF">
        <w:rPr>
          <w:rFonts w:ascii="David" w:eastAsia="Calibri" w:hAnsi="David"/>
          <w:b/>
          <w:bCs/>
          <w:rtl/>
        </w:rPr>
        <w:t xml:space="preserve"> וכי היא ומשפחתה יהיו רשאים להמשיך ולהתגורר שם עד יום פטירתי או עד ליום פטירתה של אשתי, לפי המאוחר. אולם, בתום 150 ימים ממועד פטירתי, או ממועד פטירתה של אש</w:t>
      </w:r>
      <w:r>
        <w:rPr>
          <w:rFonts w:ascii="David" w:eastAsia="Calibri" w:hAnsi="David"/>
          <w:b/>
          <w:bCs/>
          <w:rtl/>
        </w:rPr>
        <w:t>תי, לפי המאוחר, מ</w:t>
      </w:r>
      <w:r>
        <w:rPr>
          <w:rFonts w:ascii="David" w:eastAsia="Calibri" w:hAnsi="David" w:hint="cs"/>
          <w:b/>
          <w:bCs/>
          <w:rtl/>
        </w:rPr>
        <w:t xml:space="preserve">' </w:t>
      </w:r>
      <w:r w:rsidR="00A42EAF">
        <w:rPr>
          <w:rFonts w:ascii="David" w:eastAsia="Calibri" w:hAnsi="David"/>
          <w:b/>
          <w:bCs/>
          <w:rtl/>
        </w:rPr>
        <w:t xml:space="preserve">ומשפחתה </w:t>
      </w:r>
      <w:r>
        <w:rPr>
          <w:rFonts w:ascii="David" w:eastAsia="Calibri" w:hAnsi="David"/>
          <w:b/>
          <w:bCs/>
          <w:rtl/>
        </w:rPr>
        <w:t>ו/או מי מטעמה יפנו את הנכס בג</w:t>
      </w:r>
      <w:r>
        <w:rPr>
          <w:rFonts w:ascii="David" w:eastAsia="Calibri" w:hAnsi="David" w:hint="cs"/>
          <w:b/>
          <w:bCs/>
          <w:rtl/>
        </w:rPr>
        <w:t>'</w:t>
      </w:r>
      <w:r w:rsidR="00A42EAF">
        <w:rPr>
          <w:rFonts w:ascii="David" w:eastAsia="Calibri" w:hAnsi="David"/>
          <w:b/>
          <w:bCs/>
          <w:rtl/>
        </w:rPr>
        <w:t xml:space="preserve"> מבלי שיהיו להן כל דרישות כלשהן ו/או זכויות עודפות על מי מהיורשים שפירשתי בסעיף זה.</w:t>
      </w:r>
    </w:p>
    <w:p w:rsidR="00A42EAF" w:rsidRDefault="00A42EAF" w:rsidP="00B1227B">
      <w:pPr>
        <w:pStyle w:val="ad"/>
        <w:numPr>
          <w:ilvl w:val="0"/>
          <w:numId w:val="2"/>
        </w:numPr>
        <w:spacing w:after="160" w:line="360" w:lineRule="auto"/>
        <w:rPr>
          <w:rFonts w:ascii="David" w:eastAsia="Calibri" w:hAnsi="David"/>
          <w:b/>
          <w:bCs/>
        </w:rPr>
      </w:pPr>
      <w:r>
        <w:rPr>
          <w:rFonts w:ascii="David" w:eastAsia="Calibri" w:hAnsi="David"/>
          <w:b/>
          <w:bCs/>
          <w:rtl/>
        </w:rPr>
        <w:t>הרכוש המפורט בסעיף  3ז (</w:t>
      </w:r>
      <w:r>
        <w:rPr>
          <w:rFonts w:ascii="David" w:eastAsia="Calibri" w:hAnsi="David"/>
          <w:rtl/>
        </w:rPr>
        <w:t xml:space="preserve">הזכויות במגרש ברחוב </w:t>
      </w:r>
      <w:r w:rsidR="00B1227B">
        <w:rPr>
          <w:rFonts w:ascii="David" w:eastAsia="Calibri" w:hAnsi="David" w:hint="cs"/>
          <w:rtl/>
        </w:rPr>
        <w:t>ד'</w:t>
      </w:r>
      <w:r>
        <w:rPr>
          <w:rFonts w:ascii="David" w:eastAsia="Calibri" w:hAnsi="David"/>
          <w:rtl/>
        </w:rPr>
        <w:t xml:space="preserve">- צ.כ.א.) </w:t>
      </w:r>
      <w:r>
        <w:rPr>
          <w:rFonts w:ascii="David" w:eastAsia="Calibri" w:hAnsi="David"/>
          <w:b/>
          <w:bCs/>
          <w:rtl/>
        </w:rPr>
        <w:t>לעיל יחולק בחלקים שווים בין ארבעת ילדיי.</w:t>
      </w:r>
    </w:p>
    <w:p w:rsidR="00A42EAF" w:rsidRDefault="00B1227B" w:rsidP="00A42EAF">
      <w:pPr>
        <w:pStyle w:val="ad"/>
        <w:spacing w:line="360" w:lineRule="auto"/>
        <w:ind w:left="1800"/>
        <w:rPr>
          <w:rFonts w:ascii="David" w:eastAsia="Calibri" w:hAnsi="David"/>
          <w:b/>
          <w:bCs/>
          <w:rtl/>
        </w:rPr>
      </w:pPr>
      <w:r>
        <w:rPr>
          <w:rFonts w:ascii="David" w:eastAsia="Calibri" w:hAnsi="David" w:hint="cs"/>
          <w:b/>
          <w:bCs/>
          <w:rtl/>
        </w:rPr>
        <w:t>(הנתבעים 2-5)</w:t>
      </w:r>
      <w:r w:rsidR="00A42EAF">
        <w:rPr>
          <w:rFonts w:ascii="David" w:eastAsia="Calibri" w:hAnsi="David"/>
          <w:b/>
          <w:bCs/>
          <w:rtl/>
        </w:rPr>
        <w:t xml:space="preserve">                                                   להם בלבד  </w:t>
      </w:r>
    </w:p>
    <w:p w:rsidR="00A42EAF" w:rsidRDefault="00A42EAF" w:rsidP="00A42EAF">
      <w:pPr>
        <w:pStyle w:val="ad"/>
        <w:spacing w:line="360" w:lineRule="auto"/>
        <w:ind w:left="1800"/>
        <w:rPr>
          <w:rFonts w:ascii="David" w:eastAsia="Calibri" w:hAnsi="David"/>
          <w:b/>
          <w:bCs/>
          <w:rtl/>
        </w:rPr>
      </w:pPr>
      <w:r>
        <w:rPr>
          <w:rFonts w:ascii="David" w:eastAsia="Calibri" w:hAnsi="David"/>
          <w:b/>
          <w:bCs/>
          <w:rtl/>
        </w:rPr>
        <w:t xml:space="preserve">                       </w:t>
      </w:r>
    </w:p>
    <w:p w:rsidR="00A42EAF" w:rsidRDefault="00A42EAF" w:rsidP="00B1227B">
      <w:pPr>
        <w:pStyle w:val="ad"/>
        <w:numPr>
          <w:ilvl w:val="0"/>
          <w:numId w:val="2"/>
        </w:numPr>
        <w:spacing w:after="160" w:line="360" w:lineRule="auto"/>
        <w:jc w:val="both"/>
        <w:rPr>
          <w:rFonts w:ascii="David" w:eastAsia="Calibri" w:hAnsi="David"/>
          <w:b/>
          <w:bCs/>
        </w:rPr>
      </w:pPr>
      <w:r>
        <w:rPr>
          <w:rFonts w:ascii="David" w:eastAsia="Calibri" w:hAnsi="David"/>
          <w:b/>
          <w:bCs/>
          <w:rtl/>
        </w:rPr>
        <w:t>כל יתרת רכושי, תחולק בחלקים שווים בין ששת ילדי אשר פרטיהם כדלהלן:</w:t>
      </w:r>
    </w:p>
    <w:p w:rsidR="00A42EAF" w:rsidRDefault="00B1227B" w:rsidP="00A42EAF">
      <w:pPr>
        <w:pStyle w:val="ad"/>
        <w:spacing w:line="360" w:lineRule="auto"/>
        <w:ind w:left="1800"/>
        <w:rPr>
          <w:rFonts w:ascii="David" w:eastAsia="Calibri" w:hAnsi="David"/>
          <w:b/>
          <w:bCs/>
          <w:rtl/>
        </w:rPr>
      </w:pPr>
      <w:r>
        <w:rPr>
          <w:rFonts w:ascii="David" w:eastAsia="Calibri" w:hAnsi="David" w:hint="cs"/>
          <w:b/>
          <w:bCs/>
          <w:rtl/>
        </w:rPr>
        <w:t>התובעים והנתבעים 2-5</w:t>
      </w:r>
      <w:r w:rsidR="00A42EAF">
        <w:rPr>
          <w:rFonts w:ascii="David" w:eastAsia="Calibri" w:hAnsi="David"/>
          <w:b/>
          <w:bCs/>
          <w:rtl/>
        </w:rPr>
        <w:t xml:space="preserve">                                        </w:t>
      </w:r>
    </w:p>
    <w:p w:rsidR="00A42EAF" w:rsidRDefault="00A42EAF" w:rsidP="00B1227B">
      <w:pPr>
        <w:spacing w:line="360" w:lineRule="auto"/>
        <w:ind w:left="1080" w:firstLine="720"/>
        <w:contextualSpacing/>
        <w:rPr>
          <w:rFonts w:ascii="David" w:eastAsia="Calibri" w:hAnsi="David"/>
          <w:b/>
          <w:bCs/>
          <w:rtl/>
        </w:rPr>
      </w:pPr>
      <w:r>
        <w:rPr>
          <w:rFonts w:ascii="David" w:eastAsia="Calibri" w:hAnsi="David"/>
          <w:b/>
          <w:bCs/>
          <w:rtl/>
        </w:rPr>
        <w:t>......"</w:t>
      </w:r>
    </w:p>
    <w:p w:rsidR="00A42EAF" w:rsidRDefault="00A42EAF" w:rsidP="00A42EAF">
      <w:pPr>
        <w:spacing w:line="360" w:lineRule="auto"/>
        <w:ind w:left="720"/>
        <w:contextualSpacing/>
        <w:rPr>
          <w:rFonts w:ascii="David" w:eastAsia="Calibri" w:hAnsi="David"/>
          <w:b/>
          <w:bCs/>
          <w:rtl/>
        </w:rPr>
      </w:pPr>
    </w:p>
    <w:p w:rsidR="00A42EAF" w:rsidRDefault="00A42EAF" w:rsidP="00B1227B">
      <w:pPr>
        <w:numPr>
          <w:ilvl w:val="0"/>
          <w:numId w:val="1"/>
        </w:numPr>
        <w:spacing w:line="360" w:lineRule="auto"/>
        <w:contextualSpacing/>
        <w:jc w:val="both"/>
        <w:rPr>
          <w:rFonts w:ascii="David" w:eastAsia="Calibri" w:hAnsi="David"/>
        </w:rPr>
      </w:pPr>
      <w:r>
        <w:rPr>
          <w:rFonts w:ascii="David" w:eastAsia="Calibri" w:hAnsi="David"/>
          <w:rtl/>
        </w:rPr>
        <w:t>בחודש ספטמבר 2019 מכרה הנתבעת 1 זכויותיה</w:t>
      </w:r>
      <w:r w:rsidR="00B1227B">
        <w:rPr>
          <w:rFonts w:ascii="David" w:eastAsia="Calibri" w:hAnsi="David"/>
          <w:rtl/>
        </w:rPr>
        <w:t xml:space="preserve"> בבית בג</w:t>
      </w:r>
      <w:r w:rsidR="00B1227B">
        <w:rPr>
          <w:rFonts w:ascii="David" w:eastAsia="Calibri" w:hAnsi="David" w:hint="cs"/>
          <w:rtl/>
        </w:rPr>
        <w:t>'</w:t>
      </w:r>
      <w:r>
        <w:rPr>
          <w:rFonts w:ascii="David" w:eastAsia="Calibri" w:hAnsi="David"/>
          <w:rtl/>
        </w:rPr>
        <w:t xml:space="preserve"> תמורת הסך של 4.4 מליון ₪, וחילקה את התמורה בין הנתבעים 2-5.</w:t>
      </w:r>
    </w:p>
    <w:p w:rsidR="00401B57" w:rsidRDefault="00401B57" w:rsidP="00401B57">
      <w:pPr>
        <w:spacing w:line="360" w:lineRule="auto"/>
        <w:ind w:left="785"/>
        <w:contextualSpacing/>
        <w:rPr>
          <w:rFonts w:ascii="David" w:eastAsia="Calibri" w:hAnsi="David"/>
          <w:rtl/>
        </w:rPr>
      </w:pPr>
    </w:p>
    <w:p w:rsidR="00A42EAF" w:rsidRDefault="00A42EAF" w:rsidP="00B1227B">
      <w:pPr>
        <w:numPr>
          <w:ilvl w:val="0"/>
          <w:numId w:val="1"/>
        </w:numPr>
        <w:spacing w:line="360" w:lineRule="auto"/>
        <w:contextualSpacing/>
        <w:jc w:val="both"/>
        <w:rPr>
          <w:rFonts w:ascii="David" w:eastAsia="Calibri" w:hAnsi="David"/>
        </w:rPr>
      </w:pPr>
      <w:r>
        <w:rPr>
          <w:rFonts w:ascii="David" w:eastAsia="Calibri" w:hAnsi="David"/>
          <w:rtl/>
        </w:rPr>
        <w:lastRenderedPageBreak/>
        <w:t>במסגרת התובענה שבתיק זה עותרים התובעים למתן פסק דין הצהרתי, ובו יוצהר כי צוואת המנוח כוללת הוראת "יורש אחר יורש" כאשר היורשת הראשונה הינה הנתבעת 1 והיורשים השניים הם ילדיהם, כמפורט בסעיף 6 לצוואה, וכי הנתבעת 1 מנועה מביצוע דיספוזיציה בנכסי המנוח.</w:t>
      </w:r>
    </w:p>
    <w:p w:rsidR="00401B57" w:rsidRDefault="00401B57" w:rsidP="00401B57">
      <w:pPr>
        <w:spacing w:line="360" w:lineRule="auto"/>
        <w:contextualSpacing/>
        <w:rPr>
          <w:rFonts w:ascii="David" w:eastAsia="Calibri" w:hAnsi="David"/>
        </w:rPr>
      </w:pPr>
    </w:p>
    <w:p w:rsidR="00A42EAF" w:rsidRDefault="00A42EAF" w:rsidP="00B1227B">
      <w:pPr>
        <w:numPr>
          <w:ilvl w:val="0"/>
          <w:numId w:val="1"/>
        </w:numPr>
        <w:spacing w:line="360" w:lineRule="auto"/>
        <w:contextualSpacing/>
        <w:jc w:val="both"/>
        <w:rPr>
          <w:rFonts w:ascii="David" w:eastAsia="Calibri" w:hAnsi="David"/>
        </w:rPr>
      </w:pPr>
      <w:r>
        <w:rPr>
          <w:rFonts w:ascii="David" w:eastAsia="Calibri" w:hAnsi="David"/>
          <w:rtl/>
        </w:rPr>
        <w:t>בד בבד עם הגשת התביעה, הגישו התובעים ביום 12.4.2022 בקשה למתן "סעד ארעי במעמד צד אחד ולאחריו זמני לאיסור דיספוזציה בנכסי המנוח".</w:t>
      </w:r>
    </w:p>
    <w:p w:rsidR="00401B57" w:rsidRDefault="00401B57" w:rsidP="00401B57">
      <w:pPr>
        <w:pStyle w:val="ad"/>
        <w:rPr>
          <w:rFonts w:ascii="David" w:eastAsia="Calibri" w:hAnsi="David"/>
          <w:rtl/>
        </w:rPr>
      </w:pPr>
    </w:p>
    <w:p w:rsidR="00A42EAF" w:rsidRDefault="00A42EAF" w:rsidP="00401B57">
      <w:pPr>
        <w:spacing w:line="360" w:lineRule="auto"/>
        <w:ind w:left="785"/>
        <w:contextualSpacing/>
        <w:rPr>
          <w:rFonts w:ascii="David" w:eastAsia="Calibri" w:hAnsi="David"/>
          <w:rtl/>
        </w:rPr>
      </w:pPr>
      <w:r w:rsidRPr="00401B57">
        <w:rPr>
          <w:rFonts w:ascii="David" w:eastAsia="Calibri" w:hAnsi="David"/>
          <w:rtl/>
        </w:rPr>
        <w:t>לאחר קיום דיון בבקשה (ביום 28.9.2022), לרבות חקירות נגדיות, הודיעו התובעים, ביום 24.10.2022, כי חוזרים בהם מהבקשה לסעד זמני.</w:t>
      </w:r>
    </w:p>
    <w:p w:rsidR="00401B57" w:rsidRPr="00401B57" w:rsidRDefault="00401B57" w:rsidP="00401B57">
      <w:pPr>
        <w:spacing w:line="360" w:lineRule="auto"/>
        <w:ind w:left="785"/>
        <w:contextualSpacing/>
        <w:rPr>
          <w:rFonts w:ascii="David" w:eastAsia="Calibri" w:hAnsi="David"/>
        </w:rPr>
      </w:pPr>
    </w:p>
    <w:p w:rsidR="00A42EAF" w:rsidRDefault="00A42EAF" w:rsidP="00B1227B">
      <w:pPr>
        <w:numPr>
          <w:ilvl w:val="0"/>
          <w:numId w:val="1"/>
        </w:numPr>
        <w:spacing w:line="360" w:lineRule="auto"/>
        <w:contextualSpacing/>
        <w:jc w:val="both"/>
        <w:rPr>
          <w:rFonts w:ascii="David" w:eastAsia="Calibri" w:hAnsi="David"/>
        </w:rPr>
      </w:pPr>
      <w:r>
        <w:rPr>
          <w:rFonts w:ascii="David" w:eastAsia="Calibri" w:hAnsi="David"/>
          <w:rtl/>
        </w:rPr>
        <w:t>ביום 23.11.2022 הגישו התובעים בקשה</w:t>
      </w:r>
      <w:r w:rsidR="00B1227B">
        <w:rPr>
          <w:rFonts w:ascii="David" w:eastAsia="Calibri" w:hAnsi="David"/>
          <w:rtl/>
        </w:rPr>
        <w:t xml:space="preserve"> לזימונו של עורך הדין-א</w:t>
      </w:r>
      <w:r w:rsidR="00B1227B">
        <w:rPr>
          <w:rFonts w:ascii="David" w:eastAsia="Calibri" w:hAnsi="David" w:hint="cs"/>
          <w:rtl/>
        </w:rPr>
        <w:t>.ל</w:t>
      </w:r>
      <w:r>
        <w:rPr>
          <w:rFonts w:ascii="David" w:eastAsia="Calibri" w:hAnsi="David"/>
          <w:rtl/>
        </w:rPr>
        <w:t xml:space="preserve"> (להלן: </w:t>
      </w:r>
      <w:r>
        <w:rPr>
          <w:rFonts w:ascii="David" w:eastAsia="Calibri" w:hAnsi="David"/>
          <w:b/>
          <w:bCs/>
          <w:rtl/>
        </w:rPr>
        <w:t>"עורך הדין</w:t>
      </w:r>
      <w:r>
        <w:rPr>
          <w:rFonts w:ascii="David" w:eastAsia="Calibri" w:hAnsi="David"/>
          <w:rtl/>
        </w:rPr>
        <w:t>"), אשר ערך את הצוואה, כעד. כאשר בהחלטתי מאותו היום התרתי זימון העד.</w:t>
      </w:r>
    </w:p>
    <w:p w:rsidR="00401B57" w:rsidRDefault="00401B57" w:rsidP="00401B57">
      <w:pPr>
        <w:spacing w:line="360" w:lineRule="auto"/>
        <w:ind w:left="785"/>
        <w:contextualSpacing/>
        <w:rPr>
          <w:rFonts w:ascii="David" w:eastAsia="Calibri" w:hAnsi="David"/>
          <w:rtl/>
        </w:rPr>
      </w:pPr>
    </w:p>
    <w:p w:rsidR="00A42EAF" w:rsidRDefault="00A42EAF" w:rsidP="00B1227B">
      <w:pPr>
        <w:spacing w:line="360" w:lineRule="auto"/>
        <w:ind w:left="785"/>
        <w:contextualSpacing/>
        <w:jc w:val="both"/>
        <w:rPr>
          <w:rFonts w:ascii="David" w:eastAsia="Calibri" w:hAnsi="David"/>
        </w:rPr>
      </w:pPr>
      <w:r>
        <w:rPr>
          <w:rFonts w:ascii="David" w:eastAsia="Calibri" w:hAnsi="David"/>
          <w:rtl/>
        </w:rPr>
        <w:t>ב"כ הנתבעים הגישה, ביום 24.11.2022 , תגובה לזימון העד, תוך שהעלתה טענותיה לעניין חיסיון עורך דין- לקוח ולשאלת הרלוונטיות של עדות עורך הדין להליך.</w:t>
      </w:r>
    </w:p>
    <w:p w:rsidR="00A42EAF" w:rsidRDefault="00A42EAF" w:rsidP="00A42EAF">
      <w:pPr>
        <w:spacing w:line="360" w:lineRule="auto"/>
        <w:ind w:left="720"/>
        <w:contextualSpacing/>
        <w:rPr>
          <w:rFonts w:ascii="David" w:eastAsia="Calibri" w:hAnsi="David"/>
          <w:rtl/>
        </w:rPr>
      </w:pPr>
      <w:r>
        <w:rPr>
          <w:rFonts w:ascii="David" w:eastAsia="Calibri" w:hAnsi="David"/>
          <w:rtl/>
        </w:rPr>
        <w:t>במסגרת תגובתה, הודיעה ב"כ הנתבעים כי הנתבעת 1 אינה מוותרת על זכות החיסיון.</w:t>
      </w:r>
    </w:p>
    <w:p w:rsidR="00A42EAF" w:rsidRDefault="00A42EAF" w:rsidP="00B1227B">
      <w:pPr>
        <w:spacing w:line="360" w:lineRule="auto"/>
        <w:ind w:left="720"/>
        <w:contextualSpacing/>
        <w:jc w:val="both"/>
        <w:rPr>
          <w:rFonts w:ascii="David" w:eastAsia="Calibri" w:hAnsi="David"/>
          <w:rtl/>
        </w:rPr>
      </w:pPr>
      <w:r>
        <w:rPr>
          <w:rFonts w:ascii="David" w:eastAsia="Calibri" w:hAnsi="David"/>
          <w:rtl/>
        </w:rPr>
        <w:t>עוד עתרה ב"כ הנתבעים כי, ככל שהתובעים יעמדו על עדות עורך הדין, תונח תגובתה בפני עורך הדין טרם יענה לזימונו לעדות, לצורך מניעת הכשלתו בדבר החסיונות החלים עליו.</w:t>
      </w:r>
    </w:p>
    <w:p w:rsidR="00A42EAF" w:rsidRDefault="00A42EAF" w:rsidP="00B1227B">
      <w:pPr>
        <w:spacing w:line="360" w:lineRule="auto"/>
        <w:ind w:left="720"/>
        <w:contextualSpacing/>
        <w:jc w:val="both"/>
        <w:rPr>
          <w:rFonts w:ascii="David" w:eastAsia="Calibri" w:hAnsi="David"/>
          <w:rtl/>
        </w:rPr>
      </w:pPr>
      <w:r>
        <w:rPr>
          <w:rFonts w:ascii="David" w:eastAsia="Calibri" w:hAnsi="David"/>
          <w:rtl/>
        </w:rPr>
        <w:t>משלא הוגשה תשובת הנתבעים לתגובת התובעים, התרתי, בהחלטתי מיום 5.12.2022 לב"כ הנתבעים להניח תגובתה מיום 24.11.2022 לפני עורך הדין.</w:t>
      </w:r>
    </w:p>
    <w:p w:rsidR="00A42EAF" w:rsidRDefault="00A42EAF" w:rsidP="00B1227B">
      <w:pPr>
        <w:spacing w:line="360" w:lineRule="auto"/>
        <w:ind w:left="720"/>
        <w:contextualSpacing/>
        <w:jc w:val="both"/>
        <w:rPr>
          <w:rFonts w:ascii="David" w:eastAsia="Calibri" w:hAnsi="David"/>
          <w:rtl/>
        </w:rPr>
      </w:pPr>
      <w:r>
        <w:rPr>
          <w:rFonts w:ascii="David" w:eastAsia="Calibri" w:hAnsi="David"/>
          <w:rtl/>
        </w:rPr>
        <w:t>ביום 3.1.2023 החלה שמיעת הראיות בתיק, כאשר טרם החלה שמיעת עדותו של עורך הדין, הלה מסר כי מבקש, טרם עדותו, הכרעה בסוגיית הסרת החיסיון, על מנת שלא להיות חשוף להליכים אתיים.</w:t>
      </w:r>
    </w:p>
    <w:p w:rsidR="00A42EAF" w:rsidRDefault="00A42EAF" w:rsidP="00B1227B">
      <w:pPr>
        <w:spacing w:line="360" w:lineRule="auto"/>
        <w:ind w:left="720"/>
        <w:contextualSpacing/>
        <w:jc w:val="both"/>
        <w:rPr>
          <w:rFonts w:ascii="David" w:eastAsia="Calibri" w:hAnsi="David"/>
          <w:rtl/>
        </w:rPr>
      </w:pPr>
      <w:r>
        <w:rPr>
          <w:rFonts w:ascii="David" w:eastAsia="Calibri" w:hAnsi="David"/>
          <w:rtl/>
        </w:rPr>
        <w:t>לאור המחלוקות בין הצדדים בסוגיית הסרת החיסיון, נדחה מועד שמיעת עדותו של עורך הדין, תוך שאפשרתי לצדדים להגיש טיעונים בכתב בסוגיית הסרת החיסיון.</w:t>
      </w:r>
    </w:p>
    <w:p w:rsidR="00401B57" w:rsidRDefault="00401B57" w:rsidP="00A42EAF">
      <w:pPr>
        <w:spacing w:line="360" w:lineRule="auto"/>
        <w:ind w:left="720"/>
        <w:contextualSpacing/>
        <w:rPr>
          <w:rFonts w:ascii="David" w:eastAsia="Calibri" w:hAnsi="David"/>
        </w:rPr>
      </w:pPr>
    </w:p>
    <w:p w:rsidR="00A42EAF" w:rsidRDefault="00A42EAF" w:rsidP="00B1227B">
      <w:pPr>
        <w:spacing w:line="360" w:lineRule="auto"/>
        <w:ind w:left="720"/>
        <w:contextualSpacing/>
        <w:jc w:val="both"/>
        <w:rPr>
          <w:rFonts w:ascii="David" w:eastAsia="Calibri" w:hAnsi="David"/>
          <w:rtl/>
        </w:rPr>
      </w:pPr>
      <w:r>
        <w:rPr>
          <w:rFonts w:ascii="David" w:eastAsia="Calibri" w:hAnsi="David"/>
          <w:rtl/>
        </w:rPr>
        <w:t>ביום 26.3.2023 ניתנה החלטתי, במסגרתה קבעתי כי עוה"ד מנוע מלהעיד מטעם התובעים בכל הנוגע לייצוג שניתן על ידו למנוח ולנתבעת 1, או למי מהם, במסגרת עריכת הצוואה.</w:t>
      </w:r>
    </w:p>
    <w:p w:rsidR="00401B57" w:rsidRDefault="00401B57" w:rsidP="00A42EAF">
      <w:pPr>
        <w:spacing w:line="360" w:lineRule="auto"/>
        <w:ind w:left="720"/>
        <w:contextualSpacing/>
        <w:rPr>
          <w:rFonts w:ascii="David" w:eastAsia="Calibri" w:hAnsi="David"/>
        </w:rPr>
      </w:pPr>
    </w:p>
    <w:p w:rsidR="00A42EAF" w:rsidRDefault="00A42EAF" w:rsidP="00B1227B">
      <w:pPr>
        <w:spacing w:line="360" w:lineRule="auto"/>
        <w:ind w:left="720"/>
        <w:contextualSpacing/>
        <w:jc w:val="both"/>
        <w:rPr>
          <w:rFonts w:ascii="David" w:eastAsia="Calibri" w:hAnsi="David"/>
          <w:rtl/>
        </w:rPr>
      </w:pPr>
      <w:r>
        <w:rPr>
          <w:rFonts w:ascii="David" w:eastAsia="Calibri" w:hAnsi="David"/>
          <w:rtl/>
        </w:rPr>
        <w:t>התובעים הגישו בקשת רשות ערעור על החלטתי מיום 26.3.2023 (רמ"ש 3048-04-23).</w:t>
      </w:r>
    </w:p>
    <w:p w:rsidR="00A42EAF" w:rsidRDefault="00A42EAF" w:rsidP="00B1227B">
      <w:pPr>
        <w:spacing w:line="360" w:lineRule="auto"/>
        <w:ind w:left="720"/>
        <w:contextualSpacing/>
        <w:jc w:val="both"/>
        <w:rPr>
          <w:rFonts w:ascii="David" w:eastAsia="Calibri" w:hAnsi="David"/>
          <w:rtl/>
        </w:rPr>
      </w:pPr>
      <w:r>
        <w:rPr>
          <w:rFonts w:ascii="David" w:eastAsia="Calibri" w:hAnsi="David"/>
          <w:rtl/>
        </w:rPr>
        <w:t xml:space="preserve">כב' השופט שוחט, בהחלטתו מיום </w:t>
      </w:r>
      <w:r>
        <w:rPr>
          <w:rFonts w:ascii="David" w:eastAsia="Calibri" w:hAnsi="David"/>
        </w:rPr>
        <w:t>31/7/2023</w:t>
      </w:r>
      <w:r>
        <w:rPr>
          <w:rFonts w:ascii="David" w:eastAsia="Calibri" w:hAnsi="David"/>
          <w:rtl/>
        </w:rPr>
        <w:t xml:space="preserve">, דחה את בקשת רשות הערעור, תוך שקבע, בין היתר, כי: " </w:t>
      </w:r>
      <w:r>
        <w:rPr>
          <w:rFonts w:ascii="David" w:eastAsia="Calibri" w:hAnsi="David"/>
          <w:b/>
          <w:bCs/>
          <w:rtl/>
        </w:rPr>
        <w:t>סבורני כי לאור העובדה שההליך בבימה"ש קמא הגיע לשלב הסיכומים יש בדבר כדי להטות את הכף לדחיית הבר"ע כך שהסוגיה שבמחלוקת תוכרע לפני הרכב, במסגרת ערעור על פסה"ד, ככל שהמבקשים יגישו ערעור על פסה"ד"</w:t>
      </w:r>
    </w:p>
    <w:p w:rsidR="00401B57" w:rsidRDefault="00401B57" w:rsidP="00A42EAF">
      <w:pPr>
        <w:spacing w:line="360" w:lineRule="auto"/>
        <w:ind w:left="720"/>
        <w:contextualSpacing/>
        <w:rPr>
          <w:rFonts w:ascii="David" w:eastAsia="Calibri" w:hAnsi="David"/>
          <w:rtl/>
        </w:rPr>
      </w:pPr>
    </w:p>
    <w:p w:rsidR="00A42EAF" w:rsidRDefault="00A42EAF" w:rsidP="00B1227B">
      <w:pPr>
        <w:spacing w:line="360" w:lineRule="auto"/>
        <w:ind w:left="720"/>
        <w:contextualSpacing/>
        <w:jc w:val="both"/>
        <w:rPr>
          <w:rFonts w:ascii="David" w:eastAsia="Calibri" w:hAnsi="David"/>
          <w:rtl/>
        </w:rPr>
      </w:pPr>
      <w:r>
        <w:rPr>
          <w:rFonts w:ascii="David" w:eastAsia="Calibri" w:hAnsi="David"/>
          <w:rtl/>
        </w:rPr>
        <w:lastRenderedPageBreak/>
        <w:t>בקשת רשות ערעור, אשר הוגשה ע"י התובעים לבית המשפט העליון במסגרת בע"מ 7216/23, נדחתה אף היא ע"י כב' השופט סולברג.</w:t>
      </w:r>
    </w:p>
    <w:p w:rsidR="00A42EAF" w:rsidRDefault="00A42EAF" w:rsidP="00A42EAF">
      <w:pPr>
        <w:spacing w:line="360" w:lineRule="auto"/>
        <w:ind w:left="720"/>
        <w:contextualSpacing/>
        <w:rPr>
          <w:rFonts w:ascii="David" w:eastAsia="Calibri" w:hAnsi="David"/>
          <w:rtl/>
        </w:rPr>
      </w:pPr>
    </w:p>
    <w:p w:rsidR="00A42EAF" w:rsidRDefault="00A42EAF" w:rsidP="00B1227B">
      <w:pPr>
        <w:pStyle w:val="ad"/>
        <w:numPr>
          <w:ilvl w:val="0"/>
          <w:numId w:val="1"/>
        </w:numPr>
        <w:spacing w:line="360" w:lineRule="auto"/>
        <w:jc w:val="both"/>
        <w:rPr>
          <w:rFonts w:ascii="David" w:eastAsia="Calibri" w:hAnsi="David"/>
          <w:rtl/>
        </w:rPr>
      </w:pPr>
      <w:r>
        <w:rPr>
          <w:rFonts w:ascii="David" w:eastAsia="Calibri" w:hAnsi="David"/>
          <w:rtl/>
        </w:rPr>
        <w:t>להשלמת התמונה, אציין כי ביום 1.12.2022 נדחתה בקשת התובעים לצירוף החברה כנתבעת בהליך, לאחר שלא מצאתי כי המדובר ב"בעל דין נדרש".</w:t>
      </w:r>
    </w:p>
    <w:p w:rsidR="00A42EAF" w:rsidRDefault="00A42EAF" w:rsidP="00A42EAF">
      <w:pPr>
        <w:spacing w:line="360" w:lineRule="auto"/>
        <w:ind w:left="720"/>
        <w:contextualSpacing/>
        <w:rPr>
          <w:rFonts w:ascii="David" w:eastAsia="Calibri" w:hAnsi="David"/>
          <w:rtl/>
        </w:rPr>
      </w:pPr>
    </w:p>
    <w:p w:rsidR="00A42EAF" w:rsidRDefault="00A42EAF" w:rsidP="00A42EAF">
      <w:pPr>
        <w:spacing w:line="360" w:lineRule="auto"/>
        <w:contextualSpacing/>
        <w:rPr>
          <w:rFonts w:ascii="David" w:eastAsia="Calibri" w:hAnsi="David"/>
          <w:b/>
          <w:bCs/>
          <w:rtl/>
        </w:rPr>
      </w:pPr>
      <w:r>
        <w:rPr>
          <w:rFonts w:ascii="David" w:eastAsia="Calibri" w:hAnsi="David"/>
          <w:b/>
          <w:bCs/>
          <w:rtl/>
        </w:rPr>
        <w:t>טענות התובעים</w:t>
      </w:r>
    </w:p>
    <w:p w:rsidR="00A42EAF" w:rsidRDefault="00A42EAF" w:rsidP="00A42EAF">
      <w:pPr>
        <w:spacing w:line="360" w:lineRule="auto"/>
        <w:contextualSpacing/>
        <w:rPr>
          <w:rFonts w:ascii="David" w:eastAsia="Calibri" w:hAnsi="David"/>
          <w:b/>
          <w:bCs/>
          <w:rtl/>
        </w:rPr>
      </w:pPr>
      <w:r>
        <w:rPr>
          <w:rFonts w:ascii="David" w:eastAsia="Calibri" w:hAnsi="David"/>
          <w:b/>
          <w:bCs/>
          <w:rtl/>
        </w:rPr>
        <w:t>להלן טענות התובעים בתמצית:</w:t>
      </w:r>
    </w:p>
    <w:p w:rsidR="00A42EAF" w:rsidRDefault="00A42EAF" w:rsidP="00A42EAF">
      <w:pPr>
        <w:spacing w:line="360" w:lineRule="auto"/>
        <w:contextualSpacing/>
        <w:rPr>
          <w:rFonts w:ascii="David" w:eastAsia="Calibri" w:hAnsi="David"/>
          <w:b/>
          <w:bCs/>
          <w:rtl/>
        </w:rPr>
      </w:pPr>
    </w:p>
    <w:p w:rsidR="00A42EAF" w:rsidRDefault="00A42EAF" w:rsidP="00B1227B">
      <w:pPr>
        <w:numPr>
          <w:ilvl w:val="0"/>
          <w:numId w:val="1"/>
        </w:numPr>
        <w:spacing w:line="360" w:lineRule="auto"/>
        <w:contextualSpacing/>
        <w:jc w:val="both"/>
        <w:rPr>
          <w:rFonts w:ascii="David" w:eastAsia="Calibri" w:hAnsi="David"/>
        </w:rPr>
      </w:pPr>
      <w:r>
        <w:rPr>
          <w:rFonts w:ascii="David" w:eastAsia="Calibri" w:hAnsi="David"/>
          <w:rtl/>
        </w:rPr>
        <w:t>יש להורות על פרשנות הצוואה באופן בו ייקרא לתוכה ציווי של יורש אחר יורש, וכן לקבוע כי הנתבעת 1, כיורשת ראשונה, מנועה מלמכור את חלקם של התובעים בנכסי העזבון בחייה, מבלי שהדבר יפגע ביכולתה לעשות בהם שימוש לצרכיה.</w:t>
      </w:r>
    </w:p>
    <w:p w:rsidR="00401B57" w:rsidRDefault="00401B57" w:rsidP="00401B57">
      <w:pPr>
        <w:spacing w:line="360" w:lineRule="auto"/>
        <w:ind w:left="785"/>
        <w:contextualSpacing/>
        <w:rPr>
          <w:rFonts w:ascii="David" w:eastAsia="Calibri" w:hAnsi="David"/>
          <w:rtl/>
        </w:rPr>
      </w:pPr>
    </w:p>
    <w:p w:rsidR="00401B57" w:rsidRPr="00401B57" w:rsidRDefault="00A42EAF" w:rsidP="00B1227B">
      <w:pPr>
        <w:numPr>
          <w:ilvl w:val="0"/>
          <w:numId w:val="1"/>
        </w:numPr>
        <w:spacing w:line="360" w:lineRule="auto"/>
        <w:contextualSpacing/>
        <w:jc w:val="both"/>
        <w:rPr>
          <w:rFonts w:ascii="David" w:eastAsia="Calibri" w:hAnsi="David"/>
        </w:rPr>
      </w:pPr>
      <w:r>
        <w:rPr>
          <w:rFonts w:ascii="David" w:eastAsia="Calibri" w:hAnsi="David"/>
          <w:rtl/>
        </w:rPr>
        <w:t>כוונתו הברורה של המנוח, כפי העולה הן מלשון הצוואה והן מהנסיבות החיצוניות, היתה כי נכסיו יועברו לאשתו תחילה ולאחר מכן לילדיו. וכן כי אשתו לא תמכור את הנכסים, על מנת שאלו יחולקו לאחר אחרית ימיה לפי רצונו.</w:t>
      </w:r>
    </w:p>
    <w:p w:rsidR="00A42EAF" w:rsidRDefault="00B1227B" w:rsidP="00A42EAF">
      <w:pPr>
        <w:spacing w:line="360" w:lineRule="auto"/>
        <w:ind w:left="720"/>
        <w:contextualSpacing/>
        <w:rPr>
          <w:rFonts w:ascii="David" w:eastAsia="Calibri" w:hAnsi="David"/>
          <w:rtl/>
        </w:rPr>
      </w:pPr>
      <w:r>
        <w:rPr>
          <w:rFonts w:ascii="David" w:eastAsia="Calibri" w:hAnsi="David" w:hint="cs"/>
          <w:rtl/>
        </w:rPr>
        <w:t xml:space="preserve"> </w:t>
      </w:r>
      <w:r w:rsidR="00A42EAF">
        <w:rPr>
          <w:rFonts w:ascii="David" w:eastAsia="Calibri" w:hAnsi="David"/>
          <w:rtl/>
        </w:rPr>
        <w:t xml:space="preserve">במקרה דנן, ברור כי הניסוח הלקוי של הרישא של סעיף 6 לצוואה אינו משקף את רצונו של </w:t>
      </w:r>
      <w:r>
        <w:rPr>
          <w:rFonts w:ascii="David" w:eastAsia="Calibri" w:hAnsi="David" w:hint="cs"/>
          <w:rtl/>
        </w:rPr>
        <w:t xml:space="preserve"> </w:t>
      </w:r>
      <w:r w:rsidR="00A42EAF">
        <w:rPr>
          <w:rFonts w:ascii="David" w:eastAsia="Calibri" w:hAnsi="David"/>
          <w:rtl/>
        </w:rPr>
        <w:t>המנוח.</w:t>
      </w:r>
    </w:p>
    <w:p w:rsidR="00401B57" w:rsidRDefault="00401B57" w:rsidP="00A42EAF">
      <w:pPr>
        <w:spacing w:line="360" w:lineRule="auto"/>
        <w:ind w:left="720"/>
        <w:contextualSpacing/>
        <w:rPr>
          <w:rFonts w:ascii="David" w:eastAsia="Calibri" w:hAnsi="David"/>
        </w:rPr>
      </w:pPr>
    </w:p>
    <w:p w:rsidR="00A42EAF" w:rsidRDefault="00A42EAF" w:rsidP="00A42EAF">
      <w:pPr>
        <w:numPr>
          <w:ilvl w:val="0"/>
          <w:numId w:val="1"/>
        </w:numPr>
        <w:spacing w:line="360" w:lineRule="auto"/>
        <w:contextualSpacing/>
        <w:rPr>
          <w:rFonts w:ascii="David" w:eastAsia="Calibri" w:hAnsi="David"/>
        </w:rPr>
      </w:pPr>
      <w:r>
        <w:rPr>
          <w:rFonts w:ascii="David" w:eastAsia="Calibri" w:hAnsi="David"/>
          <w:rtl/>
        </w:rPr>
        <w:t>המנוח, עפ"י אופיו, לא היה "מחלק" כספים ביד רחבה לנתבעים.</w:t>
      </w:r>
    </w:p>
    <w:p w:rsidR="00A42EAF" w:rsidRDefault="00A42EAF" w:rsidP="00B1227B">
      <w:pPr>
        <w:numPr>
          <w:ilvl w:val="0"/>
          <w:numId w:val="1"/>
        </w:numPr>
        <w:spacing w:line="360" w:lineRule="auto"/>
        <w:contextualSpacing/>
        <w:jc w:val="both"/>
        <w:rPr>
          <w:rFonts w:ascii="David" w:eastAsia="Calibri" w:hAnsi="David"/>
        </w:rPr>
      </w:pPr>
      <w:r>
        <w:rPr>
          <w:rFonts w:ascii="David" w:eastAsia="Calibri" w:hAnsi="David"/>
          <w:rtl/>
        </w:rPr>
        <w:t>הצוואה נערכה כארבעה חודשים טרם פטירתו של המנוח, כאשר מצבו הפיזי היה רע. בשנים האחרונות לחייו אושפז המנוח בבית חולים מספר רב של פעמים ואף עבר ניתוחי לב וסבל ממים בריאות.</w:t>
      </w:r>
    </w:p>
    <w:p w:rsidR="00401B57" w:rsidRDefault="00401B57" w:rsidP="00401B57">
      <w:pPr>
        <w:spacing w:line="360" w:lineRule="auto"/>
        <w:ind w:left="785"/>
        <w:contextualSpacing/>
        <w:rPr>
          <w:rFonts w:ascii="David" w:eastAsia="Calibri" w:hAnsi="David"/>
        </w:rPr>
      </w:pPr>
    </w:p>
    <w:p w:rsidR="00A42EAF" w:rsidRDefault="00A42EAF" w:rsidP="00B1227B">
      <w:pPr>
        <w:numPr>
          <w:ilvl w:val="0"/>
          <w:numId w:val="1"/>
        </w:numPr>
        <w:spacing w:line="360" w:lineRule="auto"/>
        <w:contextualSpacing/>
        <w:jc w:val="both"/>
        <w:rPr>
          <w:rFonts w:ascii="David" w:eastAsia="Calibri" w:hAnsi="David"/>
        </w:rPr>
      </w:pPr>
      <w:r>
        <w:rPr>
          <w:rFonts w:ascii="David" w:eastAsia="Calibri" w:hAnsi="David"/>
          <w:rtl/>
        </w:rPr>
        <w:t>מאז פטירת המנוח ועד היום, הנתבעת 1 אינה מצויה בקו הבריאות וכמעט לא יוצאת מביתה. כאשר לצד זה, היא  תלויה ונשלטת ע"י בנותיה, אשר מנצלות זאת לרעה.</w:t>
      </w:r>
    </w:p>
    <w:p w:rsidR="00401B57" w:rsidRDefault="00401B57" w:rsidP="00401B57">
      <w:pPr>
        <w:spacing w:line="360" w:lineRule="auto"/>
        <w:contextualSpacing/>
        <w:rPr>
          <w:rFonts w:ascii="David" w:eastAsia="Calibri" w:hAnsi="David"/>
        </w:rPr>
      </w:pPr>
    </w:p>
    <w:p w:rsidR="00A42EAF" w:rsidRDefault="00A42EAF" w:rsidP="00B1227B">
      <w:pPr>
        <w:numPr>
          <w:ilvl w:val="0"/>
          <w:numId w:val="1"/>
        </w:numPr>
        <w:spacing w:line="360" w:lineRule="auto"/>
        <w:contextualSpacing/>
        <w:jc w:val="both"/>
        <w:rPr>
          <w:rFonts w:ascii="David" w:eastAsia="Calibri" w:hAnsi="David"/>
        </w:rPr>
      </w:pPr>
      <w:r>
        <w:rPr>
          <w:rFonts w:ascii="David" w:eastAsia="Calibri" w:hAnsi="David"/>
          <w:rtl/>
        </w:rPr>
        <w:t>כשאלו פני הדברים, לא מתקבל על הדעת כי המנוח  בערוב ימיו, במצבו הרעוע, לאחר עשרות שנים של התנהלות מסוימת, לפתע בחר לשנות ממנהגו ולהפקיד בידי אשתו את כל רכושו לשיקול דעתה הגורף.</w:t>
      </w:r>
    </w:p>
    <w:p w:rsidR="00401B57" w:rsidRDefault="00401B57" w:rsidP="00401B57">
      <w:pPr>
        <w:spacing w:line="360" w:lineRule="auto"/>
        <w:contextualSpacing/>
        <w:rPr>
          <w:rFonts w:ascii="David" w:eastAsia="Calibri" w:hAnsi="David"/>
        </w:rPr>
      </w:pPr>
    </w:p>
    <w:p w:rsidR="00A42EAF" w:rsidRDefault="00A42EAF" w:rsidP="00B1227B">
      <w:pPr>
        <w:numPr>
          <w:ilvl w:val="0"/>
          <w:numId w:val="1"/>
        </w:numPr>
        <w:spacing w:line="360" w:lineRule="auto"/>
        <w:contextualSpacing/>
        <w:jc w:val="both"/>
        <w:rPr>
          <w:rFonts w:ascii="David" w:eastAsia="Calibri" w:hAnsi="David"/>
        </w:rPr>
      </w:pPr>
      <w:r>
        <w:rPr>
          <w:rFonts w:ascii="David" w:eastAsia="Calibri" w:hAnsi="David"/>
          <w:rtl/>
        </w:rPr>
        <w:t>כך בנוסף, בניגוד גמור לתפישת עולמו ולרצונו של המנוח, פעלו הנת</w:t>
      </w:r>
      <w:r w:rsidR="00B1227B">
        <w:rPr>
          <w:rFonts w:ascii="David" w:eastAsia="Calibri" w:hAnsi="David"/>
          <w:rtl/>
        </w:rPr>
        <w:t xml:space="preserve">בעים 2-5 למכירת הנכס ברחוב </w:t>
      </w:r>
      <w:r w:rsidR="00B1227B">
        <w:rPr>
          <w:rFonts w:ascii="David" w:eastAsia="Calibri" w:hAnsi="David" w:hint="cs"/>
          <w:rtl/>
        </w:rPr>
        <w:t>ג'</w:t>
      </w:r>
      <w:r>
        <w:rPr>
          <w:rFonts w:ascii="David" w:eastAsia="Calibri" w:hAnsi="David"/>
          <w:rtl/>
        </w:rPr>
        <w:t xml:space="preserve"> ברמת גן מתחת למחיר השוק, תוך חלוקת "השלל" ביניהם ותוך ניצול תלותה של הנתבע</w:t>
      </w:r>
      <w:r w:rsidR="00B1227B">
        <w:rPr>
          <w:rFonts w:ascii="David" w:eastAsia="Calibri" w:hAnsi="David"/>
          <w:rtl/>
        </w:rPr>
        <w:t>ת 1. כאשר הנכס בג</w:t>
      </w:r>
      <w:r w:rsidR="00B1227B">
        <w:rPr>
          <w:rFonts w:ascii="David" w:eastAsia="Calibri" w:hAnsi="David" w:hint="cs"/>
          <w:rtl/>
        </w:rPr>
        <w:t>'</w:t>
      </w:r>
      <w:r>
        <w:rPr>
          <w:rFonts w:ascii="David" w:eastAsia="Calibri" w:hAnsi="David"/>
          <w:rtl/>
        </w:rPr>
        <w:t xml:space="preserve"> היה, לתפישתו של המנוח, גולת הכותרת של פועלו, ואף כשהיה במצוקה כלכלית לא העלה על דעתו את האפשרות למכו</w:t>
      </w:r>
      <w:r w:rsidR="00B1227B">
        <w:rPr>
          <w:rFonts w:ascii="David" w:eastAsia="Calibri" w:hAnsi="David"/>
          <w:rtl/>
        </w:rPr>
        <w:t>ר את נכסיו, וביחוד את הנכס בג</w:t>
      </w:r>
      <w:r w:rsidR="00B1227B">
        <w:rPr>
          <w:rFonts w:ascii="David" w:eastAsia="Calibri" w:hAnsi="David" w:hint="cs"/>
          <w:rtl/>
        </w:rPr>
        <w:t>'</w:t>
      </w:r>
      <w:r>
        <w:rPr>
          <w:rFonts w:ascii="David" w:eastAsia="Calibri" w:hAnsi="David"/>
          <w:rtl/>
        </w:rPr>
        <w:t>.</w:t>
      </w:r>
    </w:p>
    <w:p w:rsidR="00401B57" w:rsidRDefault="00401B57" w:rsidP="00401B57">
      <w:pPr>
        <w:spacing w:line="360" w:lineRule="auto"/>
        <w:contextualSpacing/>
        <w:rPr>
          <w:rFonts w:ascii="David" w:eastAsia="Calibri" w:hAnsi="David"/>
        </w:rPr>
      </w:pPr>
    </w:p>
    <w:p w:rsidR="00A42EAF" w:rsidRDefault="00A42EAF" w:rsidP="00B1227B">
      <w:pPr>
        <w:numPr>
          <w:ilvl w:val="0"/>
          <w:numId w:val="1"/>
        </w:numPr>
        <w:spacing w:line="360" w:lineRule="auto"/>
        <w:contextualSpacing/>
        <w:jc w:val="both"/>
        <w:rPr>
          <w:rFonts w:ascii="David" w:eastAsia="Calibri" w:hAnsi="David"/>
        </w:rPr>
      </w:pPr>
      <w:r>
        <w:rPr>
          <w:rFonts w:ascii="David" w:eastAsia="Calibri" w:hAnsi="David"/>
          <w:rtl/>
        </w:rPr>
        <w:t>הצוואה הינה צוואה הדדית נוטרי</w:t>
      </w:r>
      <w:r w:rsidR="00B1227B">
        <w:rPr>
          <w:rFonts w:ascii="David" w:eastAsia="Calibri" w:hAnsi="David"/>
          <w:rtl/>
        </w:rPr>
        <w:t>ונית, אשר נחתמה בפני עוה"ד ל</w:t>
      </w:r>
      <w:r>
        <w:rPr>
          <w:rFonts w:ascii="David" w:eastAsia="Calibri" w:hAnsi="David"/>
          <w:rtl/>
        </w:rPr>
        <w:t>. כאשר כוונת המנוח בצוואתו היתה, באופן מובהק, להסדיר כי מכלול נכסיו יועברו תחילה לאשתו, בבחינת "יורש אחר יורש". ונכסים ספציפיים, בהם נקב, תוך הפרדה מחושבת, יחולקו בין ילדיו לאחר פטירתה של אשתו.</w:t>
      </w:r>
    </w:p>
    <w:p w:rsidR="00A42EAF" w:rsidRDefault="00A42EAF" w:rsidP="00A42EAF">
      <w:pPr>
        <w:spacing w:line="360" w:lineRule="auto"/>
        <w:ind w:left="785"/>
        <w:contextualSpacing/>
        <w:rPr>
          <w:rFonts w:ascii="David" w:eastAsia="Calibri" w:hAnsi="David"/>
          <w:rtl/>
        </w:rPr>
      </w:pPr>
      <w:r>
        <w:rPr>
          <w:rFonts w:ascii="David" w:eastAsia="Calibri" w:hAnsi="David"/>
          <w:rtl/>
        </w:rPr>
        <w:t xml:space="preserve">כפועל יוצא, הלכה למעשה, ביקש המנוח והתכוון להגביל את זכותה של היורשת למכור או להעביר נכסיו עוד בחייה. </w:t>
      </w:r>
    </w:p>
    <w:p w:rsidR="00401B57" w:rsidRDefault="00401B57" w:rsidP="00401B57">
      <w:pPr>
        <w:spacing w:line="360" w:lineRule="auto"/>
        <w:contextualSpacing/>
        <w:rPr>
          <w:rFonts w:ascii="David" w:eastAsia="Calibri" w:hAnsi="David"/>
        </w:rPr>
      </w:pPr>
    </w:p>
    <w:p w:rsidR="00A42EAF" w:rsidRDefault="00A42EAF" w:rsidP="00B1227B">
      <w:pPr>
        <w:numPr>
          <w:ilvl w:val="0"/>
          <w:numId w:val="1"/>
        </w:numPr>
        <w:spacing w:line="360" w:lineRule="auto"/>
        <w:contextualSpacing/>
        <w:jc w:val="both"/>
        <w:rPr>
          <w:rFonts w:ascii="David" w:eastAsia="Calibri" w:hAnsi="David"/>
        </w:rPr>
      </w:pPr>
      <w:r>
        <w:rPr>
          <w:rFonts w:ascii="David" w:eastAsia="Calibri" w:hAnsi="David"/>
          <w:rtl/>
        </w:rPr>
        <w:t>על אף הציווי בסעיף 4 לצוואה כי כלל רכושו של המנוח יועבר ביום פטירתו לרעייתו, הוסיף בסעיף 5 ציווי לפיו הוענקה לרעייתו זכות מגורים, מכאן כי התכוון ויצא מנקודת הנחה כי רעייתו לא תעביר או תמכור את הנכסים, אלא תעשה בהם שימוש בלבד במהלך חייה ואלו יוותרו לילדים לאחר פטירתה.</w:t>
      </w:r>
    </w:p>
    <w:p w:rsidR="00401B57" w:rsidRDefault="00401B57" w:rsidP="00401B57">
      <w:pPr>
        <w:spacing w:line="360" w:lineRule="auto"/>
        <w:ind w:left="785"/>
        <w:contextualSpacing/>
        <w:rPr>
          <w:rFonts w:ascii="David" w:eastAsia="Calibri" w:hAnsi="David"/>
        </w:rPr>
      </w:pPr>
    </w:p>
    <w:p w:rsidR="00A42EAF" w:rsidRDefault="00A42EAF" w:rsidP="00B1227B">
      <w:pPr>
        <w:numPr>
          <w:ilvl w:val="0"/>
          <w:numId w:val="1"/>
        </w:numPr>
        <w:spacing w:line="360" w:lineRule="auto"/>
        <w:contextualSpacing/>
        <w:jc w:val="both"/>
        <w:rPr>
          <w:rFonts w:ascii="David" w:eastAsia="Calibri" w:hAnsi="David"/>
        </w:rPr>
      </w:pPr>
      <w:r>
        <w:rPr>
          <w:rFonts w:ascii="David" w:eastAsia="Calibri" w:hAnsi="David"/>
          <w:rtl/>
        </w:rPr>
        <w:t>אף מהסיפא של סעיף 6א ניתן ללמוד על כוונת המנוח, כאשר העניק זכות מ</w:t>
      </w:r>
      <w:r w:rsidR="00B1227B">
        <w:rPr>
          <w:rFonts w:ascii="David" w:eastAsia="Calibri" w:hAnsi="David"/>
          <w:rtl/>
        </w:rPr>
        <w:t xml:space="preserve">גורים לנתבעת 5 בנכס שברחוב </w:t>
      </w:r>
      <w:r w:rsidR="00B1227B">
        <w:rPr>
          <w:rFonts w:ascii="David" w:eastAsia="Calibri" w:hAnsi="David" w:hint="cs"/>
          <w:rtl/>
        </w:rPr>
        <w:t>ג'</w:t>
      </w:r>
      <w:r>
        <w:rPr>
          <w:rFonts w:ascii="David" w:eastAsia="Calibri" w:hAnsi="David"/>
          <w:rtl/>
        </w:rPr>
        <w:t xml:space="preserve"> עד למועד פטירת המנוח או עד למועד פטירת הנתבעת 1, לפי המאוחר.</w:t>
      </w:r>
    </w:p>
    <w:p w:rsidR="00401B57" w:rsidRDefault="00401B57" w:rsidP="00401B57">
      <w:pPr>
        <w:spacing w:line="360" w:lineRule="auto"/>
        <w:contextualSpacing/>
        <w:rPr>
          <w:rFonts w:ascii="David" w:eastAsia="Calibri" w:hAnsi="David"/>
        </w:rPr>
      </w:pPr>
    </w:p>
    <w:p w:rsidR="00A42EAF" w:rsidRDefault="00A42EAF" w:rsidP="00B1227B">
      <w:pPr>
        <w:numPr>
          <w:ilvl w:val="0"/>
          <w:numId w:val="1"/>
        </w:numPr>
        <w:spacing w:line="360" w:lineRule="auto"/>
        <w:contextualSpacing/>
        <w:jc w:val="both"/>
        <w:rPr>
          <w:rFonts w:ascii="David" w:eastAsia="Calibri" w:hAnsi="David"/>
        </w:rPr>
      </w:pPr>
      <w:r>
        <w:rPr>
          <w:rFonts w:ascii="David" w:eastAsia="Calibri" w:hAnsi="David"/>
          <w:rtl/>
        </w:rPr>
        <w:t>הנתבעים אף מדירים את התובעים ממעורבות כלשהי בחברה ו/או קבלת החלטות ו/או בפגישות מול היזמים.</w:t>
      </w:r>
    </w:p>
    <w:p w:rsidR="00A42EAF" w:rsidRDefault="00A42EAF" w:rsidP="00B1227B">
      <w:pPr>
        <w:numPr>
          <w:ilvl w:val="0"/>
          <w:numId w:val="1"/>
        </w:numPr>
        <w:spacing w:line="360" w:lineRule="auto"/>
        <w:contextualSpacing/>
        <w:jc w:val="both"/>
        <w:rPr>
          <w:rFonts w:ascii="David" w:eastAsia="Calibri" w:hAnsi="David"/>
        </w:rPr>
      </w:pPr>
      <w:r>
        <w:rPr>
          <w:rFonts w:ascii="David" w:eastAsia="Calibri" w:hAnsi="David"/>
          <w:rtl/>
        </w:rPr>
        <w:t xml:space="preserve">הנתבעים </w:t>
      </w:r>
      <w:r w:rsidR="00B1227B">
        <w:rPr>
          <w:rFonts w:ascii="David" w:eastAsia="Calibri" w:hAnsi="David"/>
          <w:rtl/>
        </w:rPr>
        <w:t>אף סיכלו את העדתו של עוה"ד ל</w:t>
      </w:r>
      <w:r w:rsidR="00B1227B">
        <w:rPr>
          <w:rFonts w:ascii="David" w:eastAsia="Calibri" w:hAnsi="David" w:hint="cs"/>
          <w:rtl/>
        </w:rPr>
        <w:t>'</w:t>
      </w:r>
      <w:r>
        <w:rPr>
          <w:rFonts w:ascii="David" w:eastAsia="Calibri" w:hAnsi="David"/>
          <w:rtl/>
        </w:rPr>
        <w:t>, אשר הינו העד האובייקטיבי היחיד שיכול וצריך לשפוך אור על כוונתו ואומד דעתו של המנוח. כאשר עדות זו הינה קריטית וחיונית לקיומו של משפט צדק.</w:t>
      </w:r>
    </w:p>
    <w:p w:rsidR="00A42EAF" w:rsidRDefault="00A42EAF" w:rsidP="00A42EAF">
      <w:pPr>
        <w:spacing w:line="360" w:lineRule="auto"/>
        <w:ind w:left="720"/>
        <w:contextualSpacing/>
        <w:rPr>
          <w:rFonts w:ascii="David" w:eastAsia="Calibri" w:hAnsi="David"/>
        </w:rPr>
      </w:pPr>
    </w:p>
    <w:p w:rsidR="00A42EAF" w:rsidRDefault="00A42EAF" w:rsidP="00A42EAF">
      <w:pPr>
        <w:spacing w:line="360" w:lineRule="auto"/>
        <w:ind w:left="360"/>
        <w:contextualSpacing/>
        <w:rPr>
          <w:rFonts w:ascii="David" w:eastAsia="Calibri" w:hAnsi="David"/>
          <w:b/>
          <w:bCs/>
          <w:rtl/>
        </w:rPr>
      </w:pPr>
      <w:r>
        <w:rPr>
          <w:rFonts w:ascii="David" w:eastAsia="Calibri" w:hAnsi="David"/>
          <w:b/>
          <w:bCs/>
          <w:rtl/>
        </w:rPr>
        <w:t>טענות הנתבעים:</w:t>
      </w:r>
    </w:p>
    <w:p w:rsidR="00A42EAF" w:rsidRDefault="00A42EAF" w:rsidP="00401B57">
      <w:pPr>
        <w:spacing w:line="360" w:lineRule="auto"/>
        <w:ind w:firstLine="360"/>
        <w:contextualSpacing/>
        <w:rPr>
          <w:rFonts w:ascii="David" w:eastAsia="Calibri" w:hAnsi="David"/>
          <w:b/>
          <w:bCs/>
          <w:rtl/>
        </w:rPr>
      </w:pPr>
      <w:r>
        <w:rPr>
          <w:rFonts w:ascii="David" w:eastAsia="Calibri" w:hAnsi="David"/>
          <w:b/>
          <w:bCs/>
          <w:rtl/>
        </w:rPr>
        <w:t>להלן טענות הנתבעים בתמצית:</w:t>
      </w:r>
    </w:p>
    <w:p w:rsidR="00A42EAF" w:rsidRDefault="00A42EAF" w:rsidP="00A42EAF">
      <w:pPr>
        <w:spacing w:line="360" w:lineRule="auto"/>
        <w:ind w:left="360"/>
        <w:contextualSpacing/>
        <w:rPr>
          <w:rFonts w:ascii="David" w:eastAsia="Calibri" w:hAnsi="David"/>
          <w:b/>
          <w:bCs/>
          <w:rtl/>
        </w:rPr>
      </w:pPr>
    </w:p>
    <w:p w:rsidR="00A42EAF" w:rsidRDefault="00A42EAF" w:rsidP="00A42EAF">
      <w:pPr>
        <w:numPr>
          <w:ilvl w:val="0"/>
          <w:numId w:val="1"/>
        </w:numPr>
        <w:spacing w:line="360" w:lineRule="auto"/>
        <w:contextualSpacing/>
        <w:rPr>
          <w:rFonts w:ascii="David" w:eastAsia="Calibri" w:hAnsi="David"/>
        </w:rPr>
      </w:pPr>
      <w:r>
        <w:rPr>
          <w:rFonts w:ascii="David" w:eastAsia="Calibri" w:hAnsi="David"/>
          <w:rtl/>
        </w:rPr>
        <w:t>על התובעים לעבור חמש משוכות על מנת לקבל</w:t>
      </w:r>
      <w:r w:rsidR="00401B57">
        <w:rPr>
          <w:rFonts w:ascii="David" w:eastAsia="Calibri" w:hAnsi="David"/>
          <w:rtl/>
        </w:rPr>
        <w:t xml:space="preserve"> את הסעדים המבוקשים בכתב התביעה</w:t>
      </w:r>
      <w:r w:rsidR="00401B57">
        <w:rPr>
          <w:rFonts w:ascii="David" w:eastAsia="Calibri" w:hAnsi="David" w:hint="cs"/>
          <w:rtl/>
        </w:rPr>
        <w:t>:</w:t>
      </w:r>
    </w:p>
    <w:p w:rsidR="00401B57" w:rsidRDefault="00401B57" w:rsidP="00401B57">
      <w:pPr>
        <w:spacing w:line="360" w:lineRule="auto"/>
        <w:ind w:left="785"/>
        <w:contextualSpacing/>
        <w:rPr>
          <w:rFonts w:ascii="David" w:eastAsia="Calibri" w:hAnsi="David"/>
        </w:rPr>
      </w:pPr>
    </w:p>
    <w:p w:rsidR="00A42EAF" w:rsidRDefault="00A42EAF" w:rsidP="00B1227B">
      <w:pPr>
        <w:numPr>
          <w:ilvl w:val="0"/>
          <w:numId w:val="1"/>
        </w:numPr>
        <w:spacing w:line="360" w:lineRule="auto"/>
        <w:contextualSpacing/>
        <w:jc w:val="both"/>
        <w:rPr>
          <w:rFonts w:ascii="David" w:eastAsia="Calibri" w:hAnsi="David"/>
        </w:rPr>
      </w:pPr>
      <w:r>
        <w:rPr>
          <w:rFonts w:ascii="David" w:eastAsia="Calibri" w:hAnsi="David"/>
          <w:rtl/>
        </w:rPr>
        <w:t>המשוכה הראשונה, להוכיח כי מבחינה משפטית יש צורך בפרשנות הצוואה בשל אי בהירות בלשונה.</w:t>
      </w:r>
    </w:p>
    <w:p w:rsidR="00A42EAF" w:rsidRDefault="00A42EAF" w:rsidP="00B1227B">
      <w:pPr>
        <w:spacing w:line="360" w:lineRule="auto"/>
        <w:ind w:left="785"/>
        <w:contextualSpacing/>
        <w:jc w:val="both"/>
        <w:rPr>
          <w:rFonts w:ascii="David" w:eastAsia="Calibri" w:hAnsi="David"/>
          <w:rtl/>
        </w:rPr>
      </w:pPr>
      <w:r>
        <w:rPr>
          <w:rFonts w:ascii="David" w:eastAsia="Calibri" w:hAnsi="David"/>
          <w:rtl/>
        </w:rPr>
        <w:t>התובעים אינם מסבירים לאיזה מונח בצוואה יש יותר ממשמעות לשונית אחת או כרוך בחוסר בהירות הדורשת פרשנות חיצונית. כאשר בפועל צוואת המנוח כתובה במונחים ברורים שלא ניתן להעניק להם משמעות שונה.</w:t>
      </w:r>
    </w:p>
    <w:p w:rsidR="00401B57" w:rsidRDefault="00401B57" w:rsidP="00401B57">
      <w:pPr>
        <w:spacing w:line="360" w:lineRule="auto"/>
        <w:ind w:left="785"/>
        <w:contextualSpacing/>
        <w:rPr>
          <w:rFonts w:ascii="David" w:eastAsia="Calibri" w:hAnsi="David"/>
        </w:rPr>
      </w:pPr>
    </w:p>
    <w:p w:rsidR="00A42EAF" w:rsidRDefault="00A42EAF" w:rsidP="00B1227B">
      <w:pPr>
        <w:pStyle w:val="ad"/>
        <w:numPr>
          <w:ilvl w:val="0"/>
          <w:numId w:val="1"/>
        </w:numPr>
        <w:spacing w:line="360" w:lineRule="auto"/>
        <w:jc w:val="both"/>
        <w:rPr>
          <w:rFonts w:ascii="David" w:eastAsia="Calibri" w:hAnsi="David"/>
          <w:rtl/>
        </w:rPr>
      </w:pPr>
      <w:r>
        <w:rPr>
          <w:rFonts w:ascii="David" w:eastAsia="Calibri" w:hAnsi="David"/>
          <w:rtl/>
        </w:rPr>
        <w:lastRenderedPageBreak/>
        <w:t>המשוכה השניה, על התובעים להוכיח כי מבחינה עובדתית הפרשנות המבוקשת על ידם- שלילת זכות הבעלות של הנתבעת 1 בנכסים והמרתה בזכות שימוש בלבד, וכן שינוי הוראת הצוואה ל"יורש אחר יורש" תחת "יורש במקום יורש" תואמת את לשון הצוואה.</w:t>
      </w:r>
    </w:p>
    <w:p w:rsidR="00A42EAF" w:rsidRDefault="00A42EAF" w:rsidP="00B1227B">
      <w:pPr>
        <w:pStyle w:val="ad"/>
        <w:spacing w:line="360" w:lineRule="auto"/>
        <w:ind w:left="785"/>
        <w:jc w:val="both"/>
        <w:rPr>
          <w:rFonts w:ascii="David" w:eastAsia="Calibri" w:hAnsi="David"/>
        </w:rPr>
      </w:pPr>
      <w:r>
        <w:rPr>
          <w:rFonts w:ascii="David" w:eastAsia="Calibri" w:hAnsi="David"/>
          <w:rtl/>
        </w:rPr>
        <w:t xml:space="preserve">פרשנות כזו הינה כתיבת צוואה חדשה עבור המנוח מהתוכן המקורי. כאשר מקומן של </w:t>
      </w:r>
      <w:r w:rsidR="00B1227B">
        <w:rPr>
          <w:rFonts w:ascii="David" w:eastAsia="Calibri" w:hAnsi="David" w:hint="cs"/>
          <w:rtl/>
        </w:rPr>
        <w:t xml:space="preserve"> </w:t>
      </w:r>
      <w:r>
        <w:rPr>
          <w:rFonts w:ascii="David" w:eastAsia="Calibri" w:hAnsi="David"/>
          <w:rtl/>
        </w:rPr>
        <w:t>טענות התובעים היו צריכות להיות מובאות במסגרת התנגדות למתן צו קיום צוואה.</w:t>
      </w:r>
    </w:p>
    <w:p w:rsidR="00A42EAF" w:rsidRDefault="00B1227B" w:rsidP="00B1227B">
      <w:pPr>
        <w:pStyle w:val="ad"/>
        <w:spacing w:line="360" w:lineRule="auto"/>
        <w:jc w:val="both"/>
        <w:rPr>
          <w:rFonts w:ascii="David" w:eastAsia="Calibri" w:hAnsi="David"/>
          <w:rtl/>
        </w:rPr>
      </w:pPr>
      <w:r>
        <w:rPr>
          <w:rFonts w:ascii="David" w:eastAsia="Calibri" w:hAnsi="David" w:hint="cs"/>
          <w:rtl/>
        </w:rPr>
        <w:t xml:space="preserve"> </w:t>
      </w:r>
      <w:r w:rsidR="00A42EAF">
        <w:rPr>
          <w:rFonts w:ascii="David" w:eastAsia="Calibri" w:hAnsi="David"/>
          <w:rtl/>
        </w:rPr>
        <w:t>אף באם, כטענת התובעים, כוונת המנוח היתה לתת לאם זכות שימוש בנכסים בלבד, ולא זכות בעלות, מה מנע ממנו לעשות כן?!</w:t>
      </w:r>
    </w:p>
    <w:p w:rsidR="00401B57" w:rsidRDefault="00401B57" w:rsidP="00A42EAF">
      <w:pPr>
        <w:pStyle w:val="ad"/>
        <w:spacing w:line="360" w:lineRule="auto"/>
        <w:rPr>
          <w:rFonts w:ascii="David" w:eastAsia="Calibri" w:hAnsi="David"/>
          <w:rtl/>
        </w:rPr>
      </w:pPr>
    </w:p>
    <w:p w:rsidR="00A42EAF" w:rsidRDefault="00A42EAF" w:rsidP="00B1227B">
      <w:pPr>
        <w:pStyle w:val="ad"/>
        <w:numPr>
          <w:ilvl w:val="0"/>
          <w:numId w:val="1"/>
        </w:numPr>
        <w:spacing w:line="360" w:lineRule="auto"/>
        <w:jc w:val="both"/>
        <w:rPr>
          <w:rFonts w:ascii="David" w:eastAsia="Calibri" w:hAnsi="David"/>
        </w:rPr>
      </w:pPr>
      <w:r>
        <w:rPr>
          <w:rFonts w:ascii="David" w:eastAsia="Calibri" w:hAnsi="David"/>
          <w:rtl/>
        </w:rPr>
        <w:t>המשוכה השלישית, על התובעים להוכיח שמבחינה משפטית הוראת "יורש אחר יורש" מגבילה את יכולתו של היורש הראשון למכור ולהעביר רכושו כרצונו, כאמור בסעיף 42(ב) לחוק הירושה, ומכפיפה אותו, עקב עיקרון תום הלב, למכירה בעקבות צורך בלבד.</w:t>
      </w:r>
    </w:p>
    <w:p w:rsidR="00A42EAF" w:rsidRDefault="00A42EAF" w:rsidP="00B1227B">
      <w:pPr>
        <w:pStyle w:val="ad"/>
        <w:spacing w:line="360" w:lineRule="auto"/>
        <w:ind w:firstLine="65"/>
        <w:jc w:val="both"/>
        <w:rPr>
          <w:rFonts w:ascii="David" w:eastAsia="Calibri" w:hAnsi="David"/>
          <w:rtl/>
        </w:rPr>
      </w:pPr>
      <w:r>
        <w:rPr>
          <w:rFonts w:ascii="David" w:eastAsia="Calibri" w:hAnsi="David"/>
          <w:rtl/>
        </w:rPr>
        <w:t>במקרה דנן, אין מחלוקת שהמנוח לא כלל סעיף מפורש המגביל את הנתבעת 1 למכור נכסים.</w:t>
      </w:r>
    </w:p>
    <w:p w:rsidR="00401B57" w:rsidRDefault="00401B57" w:rsidP="00401B57">
      <w:pPr>
        <w:pStyle w:val="ad"/>
        <w:spacing w:line="360" w:lineRule="auto"/>
        <w:ind w:firstLine="65"/>
        <w:rPr>
          <w:rFonts w:ascii="David" w:eastAsia="Calibri" w:hAnsi="David"/>
        </w:rPr>
      </w:pPr>
    </w:p>
    <w:p w:rsidR="00A42EAF" w:rsidRDefault="00A42EAF" w:rsidP="00B1227B">
      <w:pPr>
        <w:pStyle w:val="ad"/>
        <w:numPr>
          <w:ilvl w:val="0"/>
          <w:numId w:val="1"/>
        </w:numPr>
        <w:spacing w:line="360" w:lineRule="auto"/>
        <w:jc w:val="both"/>
        <w:rPr>
          <w:rFonts w:ascii="David" w:eastAsia="Calibri" w:hAnsi="David"/>
        </w:rPr>
      </w:pPr>
      <w:r>
        <w:rPr>
          <w:rFonts w:ascii="David" w:eastAsia="Calibri" w:hAnsi="David"/>
          <w:rtl/>
        </w:rPr>
        <w:t>המשוכה הרביעית, על התובעים להוכיח מבחינה עובדתי</w:t>
      </w:r>
      <w:r w:rsidR="00B1227B">
        <w:rPr>
          <w:rFonts w:ascii="David" w:eastAsia="Calibri" w:hAnsi="David"/>
          <w:rtl/>
        </w:rPr>
        <w:t>ת כי הנתבעת 1 מכרה את הבית בג</w:t>
      </w:r>
      <w:r w:rsidR="00B1227B">
        <w:rPr>
          <w:rFonts w:ascii="David" w:eastAsia="Calibri" w:hAnsi="David" w:hint="cs"/>
          <w:rtl/>
        </w:rPr>
        <w:t>'</w:t>
      </w:r>
      <w:r>
        <w:rPr>
          <w:rFonts w:ascii="David" w:eastAsia="Calibri" w:hAnsi="David"/>
          <w:rtl/>
        </w:rPr>
        <w:t xml:space="preserve"> בניגוד לעקרון תום הלב.</w:t>
      </w:r>
    </w:p>
    <w:p w:rsidR="00A42EAF" w:rsidRDefault="00A42EAF" w:rsidP="00B1227B">
      <w:pPr>
        <w:pStyle w:val="ad"/>
        <w:spacing w:line="360" w:lineRule="auto"/>
        <w:ind w:firstLine="65"/>
        <w:jc w:val="both"/>
        <w:rPr>
          <w:rFonts w:ascii="David" w:eastAsia="Calibri" w:hAnsi="David"/>
        </w:rPr>
      </w:pPr>
      <w:r>
        <w:rPr>
          <w:rFonts w:ascii="David" w:eastAsia="Calibri" w:hAnsi="David"/>
          <w:rtl/>
        </w:rPr>
        <w:t>לא עלה בידי התובעים</w:t>
      </w:r>
      <w:r w:rsidR="00B1227B">
        <w:rPr>
          <w:rFonts w:ascii="David" w:eastAsia="Calibri" w:hAnsi="David"/>
          <w:rtl/>
        </w:rPr>
        <w:t xml:space="preserve"> לעמוד בנטל ההוכחה כי הבית בג</w:t>
      </w:r>
      <w:r w:rsidR="00B1227B">
        <w:rPr>
          <w:rFonts w:ascii="David" w:eastAsia="Calibri" w:hAnsi="David" w:hint="cs"/>
          <w:rtl/>
        </w:rPr>
        <w:t>'</w:t>
      </w:r>
      <w:r>
        <w:rPr>
          <w:rFonts w:ascii="David" w:eastAsia="Calibri" w:hAnsi="David"/>
          <w:rtl/>
        </w:rPr>
        <w:t xml:space="preserve"> נמכר בחיסרון כיס </w:t>
      </w:r>
      <w:r w:rsidR="00B1227B">
        <w:rPr>
          <w:rFonts w:ascii="David" w:eastAsia="Calibri" w:hAnsi="David"/>
          <w:rtl/>
        </w:rPr>
        <w:t xml:space="preserve">ולמטרת </w:t>
      </w:r>
      <w:r w:rsidR="00B1227B">
        <w:rPr>
          <w:rFonts w:ascii="David" w:eastAsia="Calibri" w:hAnsi="David" w:hint="cs"/>
          <w:rtl/>
        </w:rPr>
        <w:t xml:space="preserve"> </w:t>
      </w:r>
      <w:r w:rsidR="00B1227B">
        <w:rPr>
          <w:rFonts w:ascii="David" w:eastAsia="Calibri" w:hAnsi="David"/>
          <w:rtl/>
        </w:rPr>
        <w:t>ה</w:t>
      </w:r>
      <w:r w:rsidR="00B1227B">
        <w:rPr>
          <w:rFonts w:ascii="David" w:eastAsia="Calibri" w:hAnsi="David" w:hint="cs"/>
          <w:rtl/>
        </w:rPr>
        <w:t>ב</w:t>
      </w:r>
      <w:r>
        <w:rPr>
          <w:rFonts w:ascii="David" w:eastAsia="Calibri" w:hAnsi="David"/>
          <w:rtl/>
        </w:rPr>
        <w:t>רחה, בעוד הנתבעת 1 העידה כי הבית הפך עבורה נטל ככלי מכביד משמדובר בבית ישן.</w:t>
      </w:r>
    </w:p>
    <w:p w:rsidR="00A42EAF" w:rsidRDefault="00B1227B" w:rsidP="00B1227B">
      <w:pPr>
        <w:pStyle w:val="ad"/>
        <w:spacing w:line="360" w:lineRule="auto"/>
        <w:jc w:val="both"/>
        <w:rPr>
          <w:rFonts w:ascii="David" w:eastAsia="Calibri" w:hAnsi="David"/>
          <w:rtl/>
        </w:rPr>
      </w:pPr>
      <w:r>
        <w:rPr>
          <w:rFonts w:ascii="David" w:eastAsia="Calibri" w:hAnsi="David" w:hint="cs"/>
          <w:rtl/>
        </w:rPr>
        <w:t xml:space="preserve"> </w:t>
      </w:r>
      <w:r w:rsidR="00A42EAF">
        <w:rPr>
          <w:rFonts w:ascii="David" w:eastAsia="Calibri" w:hAnsi="David"/>
          <w:rtl/>
        </w:rPr>
        <w:t xml:space="preserve">זאת ועוד, התובעים, עפ"י צוואת המנוח, </w:t>
      </w:r>
      <w:r>
        <w:rPr>
          <w:rFonts w:ascii="David" w:eastAsia="Calibri" w:hAnsi="David"/>
          <w:rtl/>
        </w:rPr>
        <w:t>לא היו זכאים לכל חלק מהבית בג</w:t>
      </w:r>
      <w:r>
        <w:rPr>
          <w:rFonts w:ascii="David" w:eastAsia="Calibri" w:hAnsi="David" w:hint="cs"/>
          <w:rtl/>
        </w:rPr>
        <w:t>'</w:t>
      </w:r>
      <w:r w:rsidR="00A42EAF">
        <w:rPr>
          <w:rFonts w:ascii="David" w:eastAsia="Calibri" w:hAnsi="David"/>
          <w:rtl/>
        </w:rPr>
        <w:t>.</w:t>
      </w:r>
    </w:p>
    <w:p w:rsidR="00B1227B" w:rsidRDefault="00B1227B" w:rsidP="00B1227B">
      <w:pPr>
        <w:pStyle w:val="ad"/>
        <w:spacing w:line="360" w:lineRule="auto"/>
        <w:jc w:val="both"/>
        <w:rPr>
          <w:rFonts w:ascii="David" w:eastAsia="Calibri" w:hAnsi="David"/>
          <w:rtl/>
        </w:rPr>
      </w:pPr>
    </w:p>
    <w:p w:rsidR="00A42EAF" w:rsidRDefault="00A42EAF" w:rsidP="00A42EAF">
      <w:pPr>
        <w:pStyle w:val="ad"/>
        <w:numPr>
          <w:ilvl w:val="0"/>
          <w:numId w:val="1"/>
        </w:numPr>
        <w:spacing w:line="360" w:lineRule="auto"/>
        <w:rPr>
          <w:rFonts w:ascii="David" w:eastAsia="Calibri" w:hAnsi="David"/>
        </w:rPr>
      </w:pPr>
      <w:r>
        <w:rPr>
          <w:rFonts w:ascii="David" w:eastAsia="Calibri" w:hAnsi="David"/>
          <w:rtl/>
        </w:rPr>
        <w:t>המשוכה החמישית, על התובעים להוכיח כי מבחינה משפטית ניתן לקבל צווי מניעה כלפי התנהגות עתידית של היורש הראשון על בסיס התנהגותו בעבר.</w:t>
      </w:r>
    </w:p>
    <w:p w:rsidR="00A42EAF" w:rsidRDefault="00A42EAF" w:rsidP="00A42EAF">
      <w:pPr>
        <w:pStyle w:val="ad"/>
        <w:spacing w:line="360" w:lineRule="auto"/>
        <w:ind w:left="785"/>
        <w:rPr>
          <w:rFonts w:ascii="David" w:eastAsia="Calibri" w:hAnsi="David"/>
        </w:rPr>
      </w:pPr>
    </w:p>
    <w:p w:rsidR="00A42EAF" w:rsidRDefault="00A42EAF" w:rsidP="00A42EAF">
      <w:pPr>
        <w:pStyle w:val="ad"/>
        <w:numPr>
          <w:ilvl w:val="0"/>
          <w:numId w:val="1"/>
        </w:numPr>
        <w:spacing w:line="360" w:lineRule="auto"/>
        <w:rPr>
          <w:rFonts w:ascii="David" w:eastAsia="Calibri" w:hAnsi="David"/>
        </w:rPr>
      </w:pPr>
      <w:r>
        <w:rPr>
          <w:rFonts w:ascii="David" w:eastAsia="Calibri" w:hAnsi="David"/>
          <w:rtl/>
        </w:rPr>
        <w:t>מכח חזקת השיתוף החלה על ההורים, המנוח היה בעלים של מחצית הרכוש בלבד ומחצית הרכוש היתה שייכת לנתבעת 1. מתן צווים יפגע בזכויותיה הקנייניות ביחס לרכושה שלה, ולא רק ביחס לרכוש שקיבלה בירושה.</w:t>
      </w:r>
    </w:p>
    <w:p w:rsidR="00A42EAF" w:rsidRDefault="00A42EAF" w:rsidP="00A42EAF">
      <w:pPr>
        <w:pStyle w:val="ad"/>
        <w:rPr>
          <w:rFonts w:ascii="David" w:eastAsia="Calibri" w:hAnsi="David"/>
        </w:rPr>
      </w:pPr>
    </w:p>
    <w:p w:rsidR="00A42EAF" w:rsidRDefault="00A42EAF" w:rsidP="00A42EAF">
      <w:pPr>
        <w:pStyle w:val="ad"/>
        <w:spacing w:line="360" w:lineRule="auto"/>
        <w:ind w:left="785"/>
        <w:rPr>
          <w:rFonts w:ascii="David" w:eastAsia="Calibri" w:hAnsi="David"/>
          <w:rtl/>
        </w:rPr>
      </w:pPr>
    </w:p>
    <w:p w:rsidR="00A42EAF" w:rsidRDefault="00A42EAF" w:rsidP="00A42EAF">
      <w:pPr>
        <w:spacing w:line="360" w:lineRule="auto"/>
        <w:rPr>
          <w:rFonts w:ascii="David" w:eastAsia="Calibri" w:hAnsi="David"/>
          <w:b/>
          <w:bCs/>
          <w:rtl/>
        </w:rPr>
      </w:pPr>
      <w:r>
        <w:rPr>
          <w:rFonts w:ascii="David" w:eastAsia="Calibri" w:hAnsi="David"/>
          <w:b/>
          <w:bCs/>
          <w:rtl/>
        </w:rPr>
        <w:t>דיון והכרעה:</w:t>
      </w:r>
    </w:p>
    <w:p w:rsidR="00A42EAF" w:rsidRDefault="00A42EAF" w:rsidP="00A42EAF">
      <w:pPr>
        <w:spacing w:line="360" w:lineRule="auto"/>
        <w:rPr>
          <w:rFonts w:ascii="David" w:eastAsia="Calibri" w:hAnsi="David"/>
          <w:b/>
          <w:bCs/>
          <w:rtl/>
        </w:rPr>
      </w:pPr>
    </w:p>
    <w:p w:rsidR="00A42EAF" w:rsidRDefault="00A42EAF" w:rsidP="00A42EAF">
      <w:pPr>
        <w:spacing w:line="360" w:lineRule="auto"/>
        <w:rPr>
          <w:rFonts w:ascii="David" w:eastAsia="Calibri" w:hAnsi="David"/>
          <w:b/>
          <w:bCs/>
          <w:rtl/>
        </w:rPr>
      </w:pPr>
      <w:r>
        <w:rPr>
          <w:rFonts w:ascii="David" w:eastAsia="Calibri" w:hAnsi="David"/>
          <w:b/>
          <w:bCs/>
          <w:rtl/>
        </w:rPr>
        <w:t>פרשנות הצוואה</w:t>
      </w:r>
    </w:p>
    <w:p w:rsidR="00A42EAF" w:rsidRDefault="00A42EAF" w:rsidP="00A42EAF">
      <w:pPr>
        <w:spacing w:line="360" w:lineRule="auto"/>
        <w:rPr>
          <w:rFonts w:ascii="David" w:eastAsia="Calibri" w:hAnsi="David"/>
          <w:b/>
          <w:bCs/>
          <w:rtl/>
        </w:rPr>
      </w:pPr>
    </w:p>
    <w:p w:rsidR="00A42EAF" w:rsidRDefault="00A42EAF" w:rsidP="00A42EAF">
      <w:pPr>
        <w:pStyle w:val="ad"/>
        <w:numPr>
          <w:ilvl w:val="0"/>
          <w:numId w:val="1"/>
        </w:numPr>
        <w:spacing w:line="360" w:lineRule="auto"/>
        <w:rPr>
          <w:rFonts w:ascii="David" w:eastAsia="Calibri" w:hAnsi="David"/>
        </w:rPr>
      </w:pPr>
      <w:r>
        <w:rPr>
          <w:rFonts w:ascii="David" w:eastAsia="Calibri" w:hAnsi="David"/>
          <w:b/>
          <w:bCs/>
          <w:rtl/>
        </w:rPr>
        <w:t>סעיף 54 לחוק הירושה התשכ"ה- 1985</w:t>
      </w:r>
      <w:r>
        <w:rPr>
          <w:rFonts w:ascii="David" w:eastAsia="Calibri" w:hAnsi="David"/>
          <w:rtl/>
        </w:rPr>
        <w:t xml:space="preserve"> עוסק באופן פרשנות צוואה:</w:t>
      </w:r>
    </w:p>
    <w:p w:rsidR="00401B57" w:rsidRDefault="00401B57" w:rsidP="00401B57">
      <w:pPr>
        <w:pStyle w:val="ad"/>
        <w:spacing w:line="360" w:lineRule="auto"/>
        <w:ind w:left="785"/>
        <w:rPr>
          <w:rFonts w:ascii="David" w:eastAsia="Calibri" w:hAnsi="David"/>
        </w:rPr>
      </w:pPr>
    </w:p>
    <w:p w:rsidR="00A42EAF" w:rsidRDefault="00A42EAF" w:rsidP="00A42EAF">
      <w:pPr>
        <w:pStyle w:val="ad"/>
        <w:spacing w:line="360" w:lineRule="auto"/>
        <w:rPr>
          <w:rFonts w:ascii="David" w:eastAsia="Calibri" w:hAnsi="David"/>
          <w:b/>
          <w:bCs/>
        </w:rPr>
      </w:pPr>
      <w:r>
        <w:rPr>
          <w:rFonts w:ascii="David" w:eastAsia="Calibri" w:hAnsi="David"/>
          <w:b/>
          <w:bCs/>
          <w:rtl/>
        </w:rPr>
        <w:t>"(א) מפרשים צוואה לפי אומד דעתו של המצווה כפי שהיא משתמעת מתוך הצוואה, ובמידה שאינה משתמעת מתוכה – כפי שהיא משתמעת מתוך הנסיבות.</w:t>
      </w:r>
    </w:p>
    <w:p w:rsidR="00A42EAF" w:rsidRDefault="00A42EAF" w:rsidP="00A42EAF">
      <w:pPr>
        <w:pStyle w:val="ad"/>
        <w:spacing w:line="360" w:lineRule="auto"/>
        <w:rPr>
          <w:rFonts w:ascii="David" w:eastAsia="Calibri" w:hAnsi="David"/>
          <w:b/>
          <w:bCs/>
          <w:rtl/>
        </w:rPr>
      </w:pPr>
      <w:r>
        <w:rPr>
          <w:rFonts w:ascii="David" w:eastAsia="Calibri" w:hAnsi="David"/>
          <w:b/>
          <w:bCs/>
          <w:rtl/>
        </w:rPr>
        <w:lastRenderedPageBreak/>
        <w:t>(ב) צוואה הניתנת לפירושים שונים, הפירוש המקיים אותה עדיף על פירוש שלפיו היא בטלה.</w:t>
      </w:r>
    </w:p>
    <w:p w:rsidR="00A42EAF" w:rsidRDefault="00A42EAF" w:rsidP="00A42EAF">
      <w:pPr>
        <w:pStyle w:val="ad"/>
        <w:spacing w:line="360" w:lineRule="auto"/>
        <w:rPr>
          <w:rFonts w:ascii="David" w:eastAsia="Calibri" w:hAnsi="David"/>
          <w:b/>
          <w:bCs/>
          <w:rtl/>
        </w:rPr>
      </w:pPr>
      <w:r>
        <w:rPr>
          <w:rFonts w:ascii="David" w:eastAsia="Calibri" w:hAnsi="David"/>
          <w:b/>
          <w:bCs/>
          <w:rtl/>
        </w:rPr>
        <w:t>(ג) צוואה יכול שתהיה בלשון מתנה, מחילה או הודאה או בכל לשון אחרת."</w:t>
      </w:r>
    </w:p>
    <w:p w:rsidR="00A42EAF" w:rsidRDefault="00A42EAF" w:rsidP="00A42EAF">
      <w:pPr>
        <w:spacing w:line="360" w:lineRule="auto"/>
        <w:ind w:left="720"/>
        <w:contextualSpacing/>
        <w:rPr>
          <w:rFonts w:ascii="David" w:eastAsia="Calibri" w:hAnsi="David"/>
          <w:rtl/>
        </w:rPr>
      </w:pPr>
    </w:p>
    <w:p w:rsidR="00A42EAF" w:rsidRDefault="00A42EAF" w:rsidP="00A42EAF">
      <w:pPr>
        <w:numPr>
          <w:ilvl w:val="0"/>
          <w:numId w:val="1"/>
        </w:numPr>
        <w:spacing w:line="360" w:lineRule="auto"/>
        <w:contextualSpacing/>
        <w:rPr>
          <w:rFonts w:ascii="David" w:eastAsia="Calibri" w:hAnsi="David"/>
        </w:rPr>
      </w:pPr>
      <w:r>
        <w:rPr>
          <w:rFonts w:ascii="David" w:eastAsia="Calibri" w:hAnsi="David"/>
          <w:b/>
          <w:bCs/>
          <w:rtl/>
        </w:rPr>
        <w:t>כב' הנשיא ברק</w:t>
      </w:r>
      <w:r>
        <w:rPr>
          <w:rFonts w:ascii="David" w:eastAsia="Calibri" w:hAnsi="David"/>
          <w:rtl/>
        </w:rPr>
        <w:t xml:space="preserve"> (בתוארו דאז) </w:t>
      </w:r>
      <w:r>
        <w:rPr>
          <w:rFonts w:ascii="David" w:eastAsia="Calibri" w:hAnsi="David"/>
          <w:b/>
          <w:bCs/>
          <w:rtl/>
        </w:rPr>
        <w:t>בע"א 1900/97 טלמצ'יו נ' האפוטרופוס הכללי</w:t>
      </w:r>
      <w:r>
        <w:rPr>
          <w:rFonts w:ascii="David" w:eastAsia="Calibri" w:hAnsi="David"/>
          <w:rtl/>
        </w:rPr>
        <w:t xml:space="preserve"> (פ"ד נג(2) 817 , 827) עמד על אופן ביצוע מלאכת פירוש צוואה עפ"י לשונה, הנגזרת מהרצון לכיבוד רצון המנוח: </w:t>
      </w:r>
    </w:p>
    <w:p w:rsidR="00401B57" w:rsidRDefault="00401B57" w:rsidP="00401B57">
      <w:pPr>
        <w:spacing w:line="360" w:lineRule="auto"/>
        <w:ind w:left="785"/>
        <w:contextualSpacing/>
        <w:rPr>
          <w:rFonts w:ascii="David" w:eastAsia="Calibri" w:hAnsi="David"/>
        </w:rPr>
      </w:pPr>
    </w:p>
    <w:p w:rsidR="00A42EAF" w:rsidRDefault="00A42EAF" w:rsidP="00B1227B">
      <w:pPr>
        <w:spacing w:line="360" w:lineRule="auto"/>
        <w:ind w:left="1440"/>
        <w:contextualSpacing/>
        <w:jc w:val="both"/>
        <w:rPr>
          <w:rFonts w:ascii="David" w:eastAsia="Calibri" w:hAnsi="David"/>
          <w:b/>
          <w:bCs/>
        </w:rPr>
      </w:pPr>
      <w:r>
        <w:rPr>
          <w:rFonts w:ascii="David" w:eastAsia="Calibri" w:hAnsi="David"/>
          <w:b/>
          <w:bCs/>
          <w:rtl/>
        </w:rPr>
        <w:t>"עם זאת, קיים ועומד העיקרון – שגם הוא נגזר מהרצון לכבד את רצון המת – כי הרצון הקובע הוא זה שמצא ביטויו בלשון הצוואה. אמת, מלאכת הפירוש של צוואה אינה מוגבלת אך ללשון הצוואה, אך לשון הצוואה מגבילה את מלאכת הפירוש. ללשון הצוואה ניתן לתת מובן מרחיב או מצמצם, מובן רגיל או חריג, אך יש למצוא תמיד נקודת אחיזה "ארכימדית" בלשון הצוואה המאפשרת את הגשמת אומד-דעתו של המצווה (השווה ד"נ 40/80 קניג נ' כהן [9], בעמ' 715). אכן, השופט-הפרשן אינו רשאי להוסיף ללשון הצוואה או לגרוע ממנה. כל כוחה של הפרשנות הוא במתן משמעות לטקסט של הצוואה. גבול הפרשנות הוא גבול הלשון...</w:t>
      </w:r>
    </w:p>
    <w:p w:rsidR="00A42EAF" w:rsidRDefault="00A42EAF" w:rsidP="00B1227B">
      <w:pPr>
        <w:spacing w:line="360" w:lineRule="auto"/>
        <w:ind w:left="1440"/>
        <w:contextualSpacing/>
        <w:jc w:val="both"/>
        <w:rPr>
          <w:rFonts w:ascii="David" w:eastAsia="Calibri" w:hAnsi="David"/>
          <w:b/>
          <w:bCs/>
          <w:rtl/>
        </w:rPr>
      </w:pPr>
      <w:r>
        <w:rPr>
          <w:rFonts w:ascii="David" w:eastAsia="Calibri" w:hAnsi="David"/>
          <w:b/>
          <w:bCs/>
          <w:rtl/>
        </w:rPr>
        <w:t>... אומד-דעתו של המצווה הוא מכשיר פרשני. הוא אמצעי שעל-פיו נותן הפרשן מובן משפטי לאחד המובנים האפשריים של לשון הצוואה. חיוני הוא, כי לאופציה הפרשנית, המגשימה את אומד-דעת המצווה, יהא בית קיבול בלשון הצוואה. חייב להתקיים קשר מילולי, ולו מינימלי".</w:t>
      </w:r>
    </w:p>
    <w:p w:rsidR="00A42EAF" w:rsidRDefault="00A42EAF" w:rsidP="00A42EAF">
      <w:pPr>
        <w:spacing w:line="360" w:lineRule="auto"/>
        <w:ind w:left="720"/>
        <w:contextualSpacing/>
        <w:rPr>
          <w:rFonts w:ascii="David" w:eastAsia="Calibri" w:hAnsi="David"/>
          <w:b/>
          <w:bCs/>
          <w:rtl/>
        </w:rPr>
      </w:pPr>
    </w:p>
    <w:p w:rsidR="00A42EAF" w:rsidRDefault="00A42EAF" w:rsidP="00B1227B">
      <w:pPr>
        <w:spacing w:line="360" w:lineRule="auto"/>
        <w:ind w:left="720"/>
        <w:contextualSpacing/>
        <w:jc w:val="both"/>
        <w:rPr>
          <w:rFonts w:ascii="David" w:eastAsia="Calibri" w:hAnsi="David"/>
          <w:rtl/>
        </w:rPr>
      </w:pPr>
      <w:r>
        <w:rPr>
          <w:rFonts w:ascii="David" w:eastAsia="Calibri" w:hAnsi="David"/>
          <w:rtl/>
        </w:rPr>
        <w:t xml:space="preserve">בהמשך, התייחס </w:t>
      </w:r>
      <w:r>
        <w:rPr>
          <w:rFonts w:ascii="David" w:eastAsia="Calibri" w:hAnsi="David"/>
          <w:b/>
          <w:bCs/>
          <w:rtl/>
        </w:rPr>
        <w:t>כב' הנשיא ברק</w:t>
      </w:r>
      <w:r>
        <w:rPr>
          <w:rFonts w:ascii="David" w:eastAsia="Calibri" w:hAnsi="David"/>
          <w:rtl/>
        </w:rPr>
        <w:t xml:space="preserve"> למצבים "המיוחדים", בהם הדין מאפשר מתן מובן לצוואה, אף באופן החורג מפרשנותה הצרה של הצוואה, תוך הגשמת אומד דעתו של המצווה, אף באם אין לכך עיגון בלשון הצוואה:</w:t>
      </w:r>
    </w:p>
    <w:p w:rsidR="00A42EAF" w:rsidRDefault="00A42EAF" w:rsidP="00B1227B">
      <w:pPr>
        <w:spacing w:line="360" w:lineRule="auto"/>
        <w:ind w:left="1440"/>
        <w:contextualSpacing/>
        <w:jc w:val="both"/>
        <w:rPr>
          <w:rFonts w:ascii="David" w:eastAsia="Calibri" w:hAnsi="David"/>
          <w:rtl/>
        </w:rPr>
      </w:pPr>
    </w:p>
    <w:p w:rsidR="00A42EAF" w:rsidRDefault="00A42EAF" w:rsidP="00B1227B">
      <w:pPr>
        <w:spacing w:line="360" w:lineRule="auto"/>
        <w:ind w:left="1440"/>
        <w:contextualSpacing/>
        <w:jc w:val="both"/>
        <w:rPr>
          <w:rFonts w:ascii="David" w:eastAsia="Calibri" w:hAnsi="David"/>
          <w:rtl/>
        </w:rPr>
      </w:pPr>
      <w:r>
        <w:rPr>
          <w:rFonts w:ascii="David" w:eastAsia="Calibri" w:hAnsi="David"/>
          <w:b/>
          <w:bCs/>
          <w:rtl/>
        </w:rPr>
        <w:t>"</w:t>
      </w:r>
      <w:r>
        <w:rPr>
          <w:b/>
          <w:bCs/>
          <w:rtl/>
        </w:rPr>
        <w:t xml:space="preserve"> </w:t>
      </w:r>
      <w:r>
        <w:rPr>
          <w:rFonts w:ascii="David" w:eastAsia="Calibri" w:hAnsi="David"/>
          <w:b/>
          <w:bCs/>
          <w:rtl/>
        </w:rPr>
        <w:t>לענייננו, אזכיר ארבעה מצבים מסוג זה: האחד, עניינו תיקון לשון הצוואה בשל טעות שנפלה בה; השני, עניינו השלמת חסר (לאקונה) בצוואה; השלישי, עניינו הגשמת אומד-דעת המצווה "בקירוב" (</w:t>
      </w:r>
      <w:r>
        <w:rPr>
          <w:rFonts w:ascii="David" w:eastAsia="Calibri" w:hAnsi="David"/>
          <w:b/>
          <w:bCs/>
        </w:rPr>
        <w:t>cy pr</w:t>
      </w:r>
      <w:r>
        <w:rPr>
          <w:rFonts w:ascii="David" w:eastAsia="Calibri" w:hAnsi="David"/>
          <w:b/>
          <w:bCs/>
          <w:rtl/>
        </w:rPr>
        <w:t>ט</w:t>
      </w:r>
      <w:r>
        <w:rPr>
          <w:rFonts w:ascii="David" w:eastAsia="Calibri" w:hAnsi="David"/>
          <w:b/>
          <w:bCs/>
        </w:rPr>
        <w:t>s</w:t>
      </w:r>
      <w:r>
        <w:rPr>
          <w:rFonts w:ascii="David" w:eastAsia="Calibri" w:hAnsi="David"/>
          <w:b/>
          <w:bCs/>
          <w:rtl/>
        </w:rPr>
        <w:t>); הרביעי, עניינו הגשמת אומד-דעת המצווה בדרך של "תחליף". בכל ארבעת המצבים הללו – ואין לראותם כרשימה סגורה – חורג השופט-הפרשן מעבר ללשונה של הצוואה המקורית. בשני המצבים הראשונים הוא מוסיף לשון חדשה לצוואה המקורית. בשני המצבים האחרונים הלשון המקורית של הצוואה אינה משתנה, אך השופט-הפרשן הוסמך להגשים את אומד-דעת המצווה. בכל המצבים הללו, השופט פועל מעבר ללשון (המקורית) של הצוואה. הוא פועל מעבר לפרשנות הצוואה במובן הצר. הוא מפרש את הצוואה במובן הרחב</w:t>
      </w:r>
      <w:r>
        <w:rPr>
          <w:rFonts w:ascii="David" w:eastAsia="Calibri" w:hAnsi="David"/>
          <w:rtl/>
        </w:rPr>
        <w:t>"</w:t>
      </w:r>
    </w:p>
    <w:p w:rsidR="00A42EAF" w:rsidRDefault="00A42EAF" w:rsidP="00B1227B">
      <w:pPr>
        <w:spacing w:line="360" w:lineRule="auto"/>
        <w:ind w:left="1440"/>
        <w:contextualSpacing/>
        <w:jc w:val="both"/>
        <w:rPr>
          <w:rFonts w:ascii="David" w:eastAsia="Calibri" w:hAnsi="David"/>
          <w:rtl/>
        </w:rPr>
      </w:pPr>
      <w:r>
        <w:rPr>
          <w:rFonts w:ascii="David" w:eastAsia="Calibri" w:hAnsi="David"/>
          <w:rtl/>
        </w:rPr>
        <w:lastRenderedPageBreak/>
        <w:t>(בעמ' 829).</w:t>
      </w:r>
    </w:p>
    <w:p w:rsidR="00A42EAF" w:rsidRDefault="00A42EAF" w:rsidP="00A42EAF">
      <w:pPr>
        <w:spacing w:line="360" w:lineRule="auto"/>
        <w:ind w:left="720"/>
        <w:contextualSpacing/>
        <w:rPr>
          <w:rFonts w:ascii="David" w:eastAsia="Calibri" w:hAnsi="David"/>
          <w:b/>
          <w:bCs/>
          <w:rtl/>
        </w:rPr>
      </w:pPr>
    </w:p>
    <w:p w:rsidR="00A42EAF" w:rsidRDefault="00A42EAF" w:rsidP="00A42EAF">
      <w:pPr>
        <w:numPr>
          <w:ilvl w:val="0"/>
          <w:numId w:val="1"/>
        </w:numPr>
        <w:spacing w:line="360" w:lineRule="auto"/>
        <w:contextualSpacing/>
        <w:rPr>
          <w:rFonts w:ascii="David" w:eastAsia="Calibri" w:hAnsi="David"/>
        </w:rPr>
      </w:pPr>
      <w:r>
        <w:rPr>
          <w:rFonts w:ascii="David" w:eastAsia="Calibri" w:hAnsi="David"/>
          <w:rtl/>
        </w:rPr>
        <w:t>בענייננו, נראה כי לשון הצוואה ברורה דיה.</w:t>
      </w:r>
    </w:p>
    <w:p w:rsidR="00401B57" w:rsidRDefault="00401B57" w:rsidP="00401B57">
      <w:pPr>
        <w:spacing w:line="360" w:lineRule="auto"/>
        <w:ind w:left="785"/>
        <w:contextualSpacing/>
        <w:rPr>
          <w:rFonts w:ascii="David" w:eastAsia="Calibri" w:hAnsi="David"/>
        </w:rPr>
      </w:pPr>
    </w:p>
    <w:p w:rsidR="00A42EAF" w:rsidRDefault="00A42EAF" w:rsidP="00A42EAF">
      <w:pPr>
        <w:spacing w:line="360" w:lineRule="auto"/>
        <w:ind w:left="720"/>
        <w:contextualSpacing/>
        <w:rPr>
          <w:rFonts w:ascii="David" w:eastAsia="Calibri" w:hAnsi="David"/>
        </w:rPr>
      </w:pPr>
      <w:r>
        <w:rPr>
          <w:rFonts w:ascii="David" w:eastAsia="Calibri" w:hAnsi="David"/>
          <w:rtl/>
        </w:rPr>
        <w:t>המנוח ציווה את כלל רכושו לנתבעת 1 וציין כי:</w:t>
      </w:r>
    </w:p>
    <w:p w:rsidR="00A42EAF" w:rsidRDefault="00A42EAF" w:rsidP="00B1227B">
      <w:pPr>
        <w:spacing w:line="360" w:lineRule="auto"/>
        <w:ind w:left="720"/>
        <w:contextualSpacing/>
        <w:jc w:val="both"/>
        <w:rPr>
          <w:rFonts w:ascii="David" w:eastAsia="Calibri" w:hAnsi="David"/>
          <w:b/>
          <w:bCs/>
        </w:rPr>
      </w:pPr>
      <w:r>
        <w:rPr>
          <w:rFonts w:ascii="David" w:eastAsia="Calibri" w:hAnsi="David"/>
          <w:b/>
          <w:bCs/>
          <w:rtl/>
        </w:rPr>
        <w:t xml:space="preserve">"במקרה וחו"ח אשתי </w:t>
      </w:r>
      <w:r w:rsidR="00B1227B">
        <w:rPr>
          <w:rFonts w:ascii="David" w:eastAsia="Calibri" w:hAnsi="David" w:hint="cs"/>
          <w:b/>
          <w:bCs/>
          <w:rtl/>
        </w:rPr>
        <w:t>____</w:t>
      </w:r>
      <w:r>
        <w:rPr>
          <w:rFonts w:ascii="David" w:eastAsia="Calibri" w:hAnsi="David"/>
          <w:b/>
          <w:bCs/>
          <w:rtl/>
        </w:rPr>
        <w:t xml:space="preserve"> לא תהיה בין החיים ביום מותי, אזי יחולק רכושי</w:t>
      </w:r>
    </w:p>
    <w:p w:rsidR="00A42EAF" w:rsidRDefault="00A42EAF" w:rsidP="00A42EAF">
      <w:pPr>
        <w:spacing w:line="360" w:lineRule="auto"/>
        <w:ind w:left="720"/>
        <w:contextualSpacing/>
        <w:rPr>
          <w:rFonts w:ascii="David" w:eastAsia="Calibri" w:hAnsi="David"/>
          <w:b/>
          <w:bCs/>
          <w:rtl/>
        </w:rPr>
      </w:pPr>
      <w:r>
        <w:rPr>
          <w:rFonts w:ascii="David" w:eastAsia="Calibri" w:hAnsi="David"/>
          <w:b/>
          <w:bCs/>
          <w:rtl/>
        </w:rPr>
        <w:t xml:space="preserve"> וינוהל כדלקמן..."</w:t>
      </w:r>
    </w:p>
    <w:p w:rsidR="00A42EAF" w:rsidRDefault="00A42EAF" w:rsidP="00B1227B">
      <w:pPr>
        <w:spacing w:line="360" w:lineRule="auto"/>
        <w:ind w:left="720"/>
        <w:contextualSpacing/>
        <w:jc w:val="both"/>
        <w:rPr>
          <w:rFonts w:ascii="David" w:eastAsia="Calibri" w:hAnsi="David"/>
        </w:rPr>
      </w:pPr>
      <w:r>
        <w:rPr>
          <w:rFonts w:ascii="David" w:eastAsia="Calibri" w:hAnsi="David"/>
          <w:rtl/>
        </w:rPr>
        <w:t>מלשון הצוואה עולה מפורשות כי זכותם של התובעים (כמו גם של הנתבעים 2-5) לרשת את עזבון המנוח קמה אך לאחר פטירתה של הנתבעת 1 (לאחר אריכות ימים ושנים). בבחינת "יורש במקום יורש".</w:t>
      </w:r>
    </w:p>
    <w:p w:rsidR="00A42EAF" w:rsidRDefault="00401B57" w:rsidP="00A42EAF">
      <w:pPr>
        <w:spacing w:line="360" w:lineRule="auto"/>
        <w:ind w:left="720"/>
        <w:contextualSpacing/>
        <w:rPr>
          <w:rFonts w:ascii="David" w:eastAsia="Calibri" w:hAnsi="David"/>
          <w:rtl/>
        </w:rPr>
      </w:pPr>
      <w:r>
        <w:rPr>
          <w:rFonts w:ascii="David" w:eastAsia="Calibri" w:hAnsi="David" w:hint="cs"/>
          <w:rtl/>
        </w:rPr>
        <w:t xml:space="preserve">זאת </w:t>
      </w:r>
      <w:r w:rsidR="00A42EAF">
        <w:rPr>
          <w:rFonts w:ascii="David" w:eastAsia="Calibri" w:hAnsi="David"/>
          <w:rtl/>
        </w:rPr>
        <w:t xml:space="preserve">בהתאם להוראות </w:t>
      </w:r>
      <w:r w:rsidR="00A42EAF">
        <w:rPr>
          <w:rFonts w:ascii="David" w:eastAsia="Calibri" w:hAnsi="David"/>
          <w:b/>
          <w:bCs/>
          <w:rtl/>
        </w:rPr>
        <w:t>סעיף 41 לחוק הירושה</w:t>
      </w:r>
      <w:r w:rsidR="00A42EAF">
        <w:rPr>
          <w:rFonts w:ascii="David" w:eastAsia="Calibri" w:hAnsi="David"/>
          <w:rtl/>
        </w:rPr>
        <w:t>, הקובעות כי:</w:t>
      </w:r>
    </w:p>
    <w:p w:rsidR="00A42EAF" w:rsidRDefault="00A42EAF" w:rsidP="00A42EAF">
      <w:pPr>
        <w:spacing w:line="360" w:lineRule="auto"/>
        <w:ind w:left="720"/>
        <w:contextualSpacing/>
        <w:rPr>
          <w:rFonts w:ascii="David" w:eastAsia="Calibri" w:hAnsi="David"/>
          <w:b/>
          <w:bCs/>
          <w:rtl/>
        </w:rPr>
      </w:pPr>
    </w:p>
    <w:p w:rsidR="00A42EAF" w:rsidRDefault="00A42EAF" w:rsidP="00B1227B">
      <w:pPr>
        <w:spacing w:line="360" w:lineRule="auto"/>
        <w:ind w:left="720"/>
        <w:contextualSpacing/>
        <w:jc w:val="both"/>
        <w:rPr>
          <w:rFonts w:ascii="David" w:eastAsia="Calibri" w:hAnsi="David"/>
          <w:b/>
          <w:bCs/>
          <w:rtl/>
        </w:rPr>
      </w:pPr>
      <w:r>
        <w:rPr>
          <w:rFonts w:ascii="David" w:eastAsia="Calibri" w:hAnsi="David"/>
          <w:b/>
          <w:bCs/>
          <w:rtl/>
        </w:rPr>
        <w:t>"(א)המצווה רשאי לצוות לשניים על מנת שיזכה השני אם לא זכה הראשון; השני יזכה אם מת הראשון לפני המצווה או שנמצא פסול לרשת או שהסתלק מן המגיע לו שלא לטובת בן-זוגו, ילדו או אחיו של המוריש"</w:t>
      </w:r>
    </w:p>
    <w:p w:rsidR="00A42EAF" w:rsidRDefault="00A42EAF" w:rsidP="00A42EAF">
      <w:pPr>
        <w:spacing w:line="360" w:lineRule="auto"/>
        <w:ind w:left="720"/>
        <w:contextualSpacing/>
        <w:rPr>
          <w:rFonts w:ascii="David" w:eastAsia="Calibri" w:hAnsi="David"/>
          <w:rtl/>
        </w:rPr>
      </w:pPr>
    </w:p>
    <w:p w:rsidR="00A42EAF" w:rsidRDefault="00A42EAF" w:rsidP="00B1227B">
      <w:pPr>
        <w:spacing w:line="360" w:lineRule="auto"/>
        <w:ind w:left="720"/>
        <w:contextualSpacing/>
        <w:jc w:val="both"/>
        <w:rPr>
          <w:rFonts w:ascii="David" w:eastAsia="Calibri" w:hAnsi="David"/>
          <w:rtl/>
        </w:rPr>
      </w:pPr>
      <w:r>
        <w:rPr>
          <w:rFonts w:ascii="David" w:eastAsia="Calibri" w:hAnsi="David"/>
          <w:rtl/>
        </w:rPr>
        <w:t>המנוח מורה, עפ"י לשון הצוואה, כי זכייתם של ילדיו בעזבונו תיעשה אך במצב בו אשתו לא תהא בין החיים במועד פטירתו. כי אז, ילדי המנוח יירשו את עזבונו במקום אשתו.</w:t>
      </w:r>
    </w:p>
    <w:p w:rsidR="00323407" w:rsidRDefault="00323407" w:rsidP="00A42EAF">
      <w:pPr>
        <w:spacing w:line="360" w:lineRule="auto"/>
        <w:ind w:left="720"/>
        <w:contextualSpacing/>
        <w:rPr>
          <w:rFonts w:ascii="David" w:eastAsia="Calibri" w:hAnsi="David"/>
          <w:rtl/>
        </w:rPr>
      </w:pPr>
    </w:p>
    <w:p w:rsidR="00A42EAF" w:rsidRDefault="00A42EAF" w:rsidP="00B1227B">
      <w:pPr>
        <w:numPr>
          <w:ilvl w:val="0"/>
          <w:numId w:val="1"/>
        </w:numPr>
        <w:spacing w:line="360" w:lineRule="auto"/>
        <w:contextualSpacing/>
        <w:jc w:val="both"/>
        <w:rPr>
          <w:rFonts w:ascii="David" w:eastAsia="Calibri" w:hAnsi="David"/>
        </w:rPr>
      </w:pPr>
      <w:r>
        <w:rPr>
          <w:rFonts w:ascii="David" w:eastAsia="Calibri" w:hAnsi="David"/>
          <w:rtl/>
        </w:rPr>
        <w:t>התובעים עותרים למתן פרשנות לצוואה באופן בו יקבע הסדר בדבר "יורש אחר יורש", תוך קביעת איסור על הנתבעת 1 לכלות את נכסי העיזבון בהם זכתה, על מנת שלא ימנע מהם מלקבל את חלקם בעיזבון. כאשר, לטענתם, פרשנות זו תואמת את אומד דעתו ואת רצונו של המנוח.</w:t>
      </w:r>
    </w:p>
    <w:p w:rsidR="00323407" w:rsidRDefault="00323407" w:rsidP="00323407">
      <w:pPr>
        <w:spacing w:line="360" w:lineRule="auto"/>
        <w:ind w:left="785"/>
        <w:contextualSpacing/>
        <w:rPr>
          <w:rFonts w:ascii="David" w:eastAsia="Calibri" w:hAnsi="David"/>
        </w:rPr>
      </w:pPr>
    </w:p>
    <w:p w:rsidR="00A42EAF" w:rsidRDefault="00A42EAF" w:rsidP="00B1227B">
      <w:pPr>
        <w:numPr>
          <w:ilvl w:val="0"/>
          <w:numId w:val="1"/>
        </w:numPr>
        <w:spacing w:line="360" w:lineRule="auto"/>
        <w:contextualSpacing/>
        <w:jc w:val="both"/>
        <w:rPr>
          <w:rFonts w:ascii="David" w:eastAsia="Calibri" w:hAnsi="David"/>
        </w:rPr>
      </w:pPr>
      <w:r>
        <w:rPr>
          <w:rFonts w:ascii="David" w:eastAsia="Calibri" w:hAnsi="David"/>
          <w:rtl/>
        </w:rPr>
        <w:t>מכלל הראיות והעדויות, אשר הובאו לפני, לא מצאתי כי עלה בידי התובעים להוכיח כי הפרשנות הנטענת על ידם תואמת את אומד דעתו של המנוח.</w:t>
      </w:r>
    </w:p>
    <w:p w:rsidR="00323407" w:rsidRDefault="00323407" w:rsidP="00323407">
      <w:pPr>
        <w:spacing w:line="360" w:lineRule="auto"/>
        <w:contextualSpacing/>
        <w:rPr>
          <w:rFonts w:ascii="David" w:eastAsia="Calibri" w:hAnsi="David"/>
        </w:rPr>
      </w:pPr>
    </w:p>
    <w:p w:rsidR="00A42EAF" w:rsidRDefault="00A42EAF" w:rsidP="00B1227B">
      <w:pPr>
        <w:numPr>
          <w:ilvl w:val="0"/>
          <w:numId w:val="1"/>
        </w:numPr>
        <w:spacing w:line="360" w:lineRule="auto"/>
        <w:contextualSpacing/>
        <w:jc w:val="both"/>
        <w:rPr>
          <w:rFonts w:ascii="David" w:eastAsia="Calibri" w:hAnsi="David"/>
        </w:rPr>
      </w:pPr>
      <w:r>
        <w:rPr>
          <w:rFonts w:ascii="David" w:eastAsia="Calibri" w:hAnsi="David"/>
          <w:rtl/>
        </w:rPr>
        <w:t>מטעם התובעים ה</w:t>
      </w:r>
      <w:r w:rsidR="00B1227B">
        <w:rPr>
          <w:rFonts w:ascii="David" w:eastAsia="Calibri" w:hAnsi="David"/>
          <w:rtl/>
        </w:rPr>
        <w:t>עידו: התובעים עצמם ומר ד</w:t>
      </w:r>
      <w:r w:rsidR="00B1227B">
        <w:rPr>
          <w:rFonts w:ascii="David" w:eastAsia="Calibri" w:hAnsi="David" w:hint="cs"/>
          <w:rtl/>
        </w:rPr>
        <w:t>.ב</w:t>
      </w:r>
      <w:r>
        <w:rPr>
          <w:rFonts w:ascii="David" w:eastAsia="Calibri" w:hAnsi="David"/>
          <w:rtl/>
        </w:rPr>
        <w:t>- בעלה של התובעת ואילו מטעם הנתבעים העידו: הנתבעים עצמם.</w:t>
      </w:r>
    </w:p>
    <w:p w:rsidR="00323407" w:rsidRDefault="00323407" w:rsidP="00323407">
      <w:pPr>
        <w:spacing w:line="360" w:lineRule="auto"/>
        <w:ind w:left="785"/>
        <w:contextualSpacing/>
        <w:rPr>
          <w:rFonts w:ascii="David" w:eastAsia="Calibri" w:hAnsi="David"/>
          <w:rtl/>
        </w:rPr>
      </w:pPr>
    </w:p>
    <w:p w:rsidR="00A42EAF" w:rsidRDefault="00A42EAF" w:rsidP="00B1227B">
      <w:pPr>
        <w:spacing w:line="360" w:lineRule="auto"/>
        <w:ind w:left="785"/>
        <w:contextualSpacing/>
        <w:jc w:val="both"/>
        <w:rPr>
          <w:rFonts w:ascii="David" w:eastAsia="Calibri" w:hAnsi="David"/>
        </w:rPr>
      </w:pPr>
      <w:r>
        <w:rPr>
          <w:rFonts w:ascii="David" w:eastAsia="Calibri" w:hAnsi="David"/>
          <w:rtl/>
        </w:rPr>
        <w:t>מעיון בתצהירי העדות הראשית ומשמיעת העדויות לפני לא מצאתי אינדיקציה כלל, אשר יש בה לבסס את טענות התובעים בדבר אומד דעתו של המנוח.</w:t>
      </w:r>
    </w:p>
    <w:p w:rsidR="00A42EAF" w:rsidRDefault="00A42EAF" w:rsidP="00B1227B">
      <w:pPr>
        <w:spacing w:line="360" w:lineRule="auto"/>
        <w:ind w:left="785"/>
        <w:contextualSpacing/>
        <w:jc w:val="both"/>
        <w:rPr>
          <w:rFonts w:ascii="David" w:eastAsia="Calibri" w:hAnsi="David"/>
          <w:rtl/>
        </w:rPr>
      </w:pPr>
      <w:r>
        <w:rPr>
          <w:rFonts w:ascii="David" w:eastAsia="Calibri" w:hAnsi="David"/>
          <w:rtl/>
        </w:rPr>
        <w:t xml:space="preserve">העובדה כי בין הצדדים קיימת מערכת יחסית עכורה (למרבה הצער), וכי אצל התובעים מתעורר חשש, כפי העולה מתצהיריהם ומעדויותיהם לפני, לפיו התנהגותה </w:t>
      </w:r>
      <w:r w:rsidR="00B1227B">
        <w:rPr>
          <w:rFonts w:ascii="David" w:eastAsia="Calibri" w:hAnsi="David"/>
          <w:rtl/>
        </w:rPr>
        <w:t xml:space="preserve">של האם, </w:t>
      </w:r>
      <w:r w:rsidR="00B1227B">
        <w:rPr>
          <w:rFonts w:ascii="David" w:eastAsia="Calibri" w:hAnsi="David"/>
          <w:rtl/>
        </w:rPr>
        <w:lastRenderedPageBreak/>
        <w:t>בתרומת יתר הנתבעים, תבי</w:t>
      </w:r>
      <w:r w:rsidR="00323407">
        <w:rPr>
          <w:rFonts w:ascii="David" w:eastAsia="Calibri" w:hAnsi="David" w:hint="cs"/>
          <w:rtl/>
        </w:rPr>
        <w:t>א</w:t>
      </w:r>
      <w:r>
        <w:rPr>
          <w:rFonts w:ascii="David" w:eastAsia="Calibri" w:hAnsi="David"/>
          <w:rtl/>
        </w:rPr>
        <w:t xml:space="preserve"> לנישולם מיתר נכסי העזבון, אין בה כדי להצביע כלל על אומד דעתו של המנוח.</w:t>
      </w:r>
    </w:p>
    <w:p w:rsidR="00323407" w:rsidRDefault="00323407" w:rsidP="00A42EAF">
      <w:pPr>
        <w:spacing w:line="360" w:lineRule="auto"/>
        <w:ind w:left="785"/>
        <w:contextualSpacing/>
        <w:rPr>
          <w:rFonts w:ascii="David" w:eastAsia="Calibri" w:hAnsi="David"/>
        </w:rPr>
      </w:pPr>
    </w:p>
    <w:p w:rsidR="00A42EAF" w:rsidRDefault="00A42EAF" w:rsidP="00B1227B">
      <w:pPr>
        <w:spacing w:line="360" w:lineRule="auto"/>
        <w:ind w:left="785"/>
        <w:contextualSpacing/>
        <w:jc w:val="both"/>
        <w:rPr>
          <w:rFonts w:ascii="David" w:eastAsia="Calibri" w:hAnsi="David"/>
          <w:rtl/>
        </w:rPr>
      </w:pPr>
      <w:r>
        <w:rPr>
          <w:rFonts w:ascii="David" w:eastAsia="Calibri" w:hAnsi="David"/>
          <w:rtl/>
        </w:rPr>
        <w:t>בשולי הדברים, אציין כי לא מצאתי מקום לפרט בהרחבה את העדויות שהובאו לפני, משאיני סבורה כי הינן רלוונטיות לצורך הכרעה בהליך.</w:t>
      </w:r>
    </w:p>
    <w:p w:rsidR="00323407" w:rsidRDefault="00323407" w:rsidP="00323407">
      <w:pPr>
        <w:spacing w:line="360" w:lineRule="auto"/>
        <w:contextualSpacing/>
        <w:rPr>
          <w:rFonts w:ascii="David" w:eastAsia="Calibri" w:hAnsi="David"/>
          <w:rtl/>
        </w:rPr>
      </w:pPr>
    </w:p>
    <w:p w:rsidR="00A42EAF" w:rsidRDefault="00A42EAF" w:rsidP="00B1227B">
      <w:pPr>
        <w:pStyle w:val="ad"/>
        <w:numPr>
          <w:ilvl w:val="0"/>
          <w:numId w:val="1"/>
        </w:numPr>
        <w:spacing w:line="360" w:lineRule="auto"/>
        <w:jc w:val="both"/>
        <w:rPr>
          <w:rFonts w:ascii="David" w:eastAsia="Calibri" w:hAnsi="David"/>
        </w:rPr>
      </w:pPr>
      <w:r>
        <w:rPr>
          <w:rFonts w:ascii="David" w:eastAsia="Calibri" w:hAnsi="David"/>
          <w:rtl/>
        </w:rPr>
        <w:t>נראה כי אף לשיטת התובעים עצמם, אין בחומר הראיות שהונח לפני בית המשפט כדי להוכיח תביעתם. על כן, נדרשת, לטענתם, עדותו של עורך הדין, אשר ערך את הצוואה ואשר עדותו שלא הותרה,  נחוצה וחיונית לצורך הוכחת תביעתם.</w:t>
      </w:r>
    </w:p>
    <w:p w:rsidR="00A42EAF" w:rsidRDefault="00A42EAF" w:rsidP="00A42EAF">
      <w:pPr>
        <w:pStyle w:val="ad"/>
        <w:rPr>
          <w:rFonts w:ascii="David" w:eastAsia="Calibri" w:hAnsi="David"/>
        </w:rPr>
      </w:pPr>
    </w:p>
    <w:p w:rsidR="00A42EAF" w:rsidRDefault="00A42EAF" w:rsidP="00B1227B">
      <w:pPr>
        <w:pStyle w:val="ad"/>
        <w:numPr>
          <w:ilvl w:val="0"/>
          <w:numId w:val="1"/>
        </w:numPr>
        <w:spacing w:line="360" w:lineRule="auto"/>
        <w:jc w:val="both"/>
        <w:rPr>
          <w:rFonts w:ascii="David" w:eastAsia="Calibri" w:hAnsi="David"/>
          <w:rtl/>
        </w:rPr>
      </w:pPr>
      <w:r>
        <w:rPr>
          <w:rFonts w:ascii="David" w:eastAsia="Calibri" w:hAnsi="David"/>
          <w:rtl/>
        </w:rPr>
        <w:t>באשר למצבו הרפואי הנטען של המנוח טרם עריכת הצוואה, משלא הוגשה התנגדות ע"י התובעים למתן צו קיום צוואה ואף לא נתבקש מינוי מומחה רפואי, לא מצאתי כי יש בכך כדי להשפיע על פרשנותה של הצוואה.</w:t>
      </w:r>
    </w:p>
    <w:p w:rsidR="00A42EAF" w:rsidRDefault="00A42EAF" w:rsidP="00A42EAF">
      <w:pPr>
        <w:spacing w:line="360" w:lineRule="auto"/>
        <w:ind w:left="720"/>
        <w:contextualSpacing/>
        <w:rPr>
          <w:rFonts w:ascii="David" w:eastAsia="Calibri" w:hAnsi="David"/>
          <w:rtl/>
        </w:rPr>
      </w:pPr>
    </w:p>
    <w:p w:rsidR="00A42EAF" w:rsidRDefault="00A42EAF" w:rsidP="00A42EAF">
      <w:pPr>
        <w:spacing w:line="360" w:lineRule="auto"/>
        <w:contextualSpacing/>
        <w:rPr>
          <w:rFonts w:ascii="David" w:eastAsia="Calibri" w:hAnsi="David"/>
          <w:b/>
          <w:bCs/>
          <w:rtl/>
        </w:rPr>
      </w:pPr>
      <w:r>
        <w:rPr>
          <w:rFonts w:ascii="David" w:eastAsia="Calibri" w:hAnsi="David"/>
          <w:b/>
          <w:bCs/>
          <w:rtl/>
        </w:rPr>
        <w:t xml:space="preserve">"יורש אחר יורש" </w:t>
      </w:r>
    </w:p>
    <w:p w:rsidR="00A42EAF" w:rsidRDefault="00A42EAF" w:rsidP="00A42EAF">
      <w:pPr>
        <w:spacing w:line="360" w:lineRule="auto"/>
        <w:contextualSpacing/>
        <w:rPr>
          <w:rFonts w:ascii="David" w:eastAsia="Calibri" w:hAnsi="David"/>
          <w:b/>
          <w:bCs/>
          <w:rtl/>
        </w:rPr>
      </w:pPr>
    </w:p>
    <w:p w:rsidR="00A42EAF" w:rsidRDefault="00A42EAF" w:rsidP="00B1227B">
      <w:pPr>
        <w:numPr>
          <w:ilvl w:val="0"/>
          <w:numId w:val="1"/>
        </w:numPr>
        <w:spacing w:line="360" w:lineRule="auto"/>
        <w:contextualSpacing/>
        <w:jc w:val="both"/>
        <w:rPr>
          <w:rFonts w:ascii="David" w:eastAsia="Calibri" w:hAnsi="David"/>
        </w:rPr>
      </w:pPr>
      <w:r>
        <w:rPr>
          <w:rFonts w:ascii="David" w:eastAsia="Calibri" w:hAnsi="David"/>
          <w:rtl/>
        </w:rPr>
        <w:t>אף באם הייתי מגיעה לתוצאה לפיה עלה בידי התובעים להוכיח בדבר אומד דעתו ורצונו של המנוח לקיומו של הסדר בדבר "יורש אחר יורש", לא מצאתי כי היה בכך כדי להקנות לתובעים הסעדים המבוקשים בכתב התביעה בדבר</w:t>
      </w:r>
      <w:r>
        <w:rPr>
          <w:rtl/>
        </w:rPr>
        <w:t xml:space="preserve"> </w:t>
      </w:r>
      <w:r>
        <w:rPr>
          <w:rFonts w:ascii="David" w:eastAsia="Calibri" w:hAnsi="David"/>
          <w:rtl/>
        </w:rPr>
        <w:t>מתן צווי איסור דיספוזיציה גורפים כלפי הנתבעת בנכסי המנוח.</w:t>
      </w:r>
    </w:p>
    <w:p w:rsidR="00323407" w:rsidRDefault="00323407" w:rsidP="00323407">
      <w:pPr>
        <w:spacing w:line="360" w:lineRule="auto"/>
        <w:ind w:left="785"/>
        <w:contextualSpacing/>
        <w:rPr>
          <w:rFonts w:ascii="David" w:eastAsia="Calibri" w:hAnsi="David"/>
          <w:rtl/>
        </w:rPr>
      </w:pPr>
    </w:p>
    <w:p w:rsidR="00323407" w:rsidRDefault="00323407" w:rsidP="00323407">
      <w:pPr>
        <w:spacing w:line="360" w:lineRule="auto"/>
        <w:ind w:left="785"/>
        <w:contextualSpacing/>
        <w:rPr>
          <w:rFonts w:ascii="David" w:eastAsia="Calibri" w:hAnsi="David"/>
          <w:rtl/>
        </w:rPr>
      </w:pPr>
    </w:p>
    <w:p w:rsidR="00323407" w:rsidRDefault="00323407" w:rsidP="00323407">
      <w:pPr>
        <w:spacing w:line="360" w:lineRule="auto"/>
        <w:ind w:left="785"/>
        <w:contextualSpacing/>
        <w:rPr>
          <w:rFonts w:ascii="David" w:eastAsia="Calibri" w:hAnsi="David"/>
        </w:rPr>
      </w:pPr>
    </w:p>
    <w:p w:rsidR="00A42EAF" w:rsidRDefault="00A42EAF" w:rsidP="00A42EAF">
      <w:pPr>
        <w:numPr>
          <w:ilvl w:val="0"/>
          <w:numId w:val="1"/>
        </w:numPr>
        <w:spacing w:line="360" w:lineRule="auto"/>
        <w:contextualSpacing/>
        <w:rPr>
          <w:rFonts w:ascii="David" w:eastAsia="Calibri" w:hAnsi="David"/>
        </w:rPr>
      </w:pPr>
      <w:r>
        <w:rPr>
          <w:rFonts w:ascii="David" w:eastAsia="Calibri" w:hAnsi="David"/>
          <w:rtl/>
        </w:rPr>
        <w:t xml:space="preserve">.ההסדר בדבר "יורש אחר יורש" נקבע </w:t>
      </w:r>
      <w:r>
        <w:rPr>
          <w:rFonts w:ascii="David" w:eastAsia="Calibri" w:hAnsi="David"/>
          <w:b/>
          <w:bCs/>
          <w:rtl/>
        </w:rPr>
        <w:t>בסעיף 42 לחוק הירושה</w:t>
      </w:r>
      <w:r>
        <w:rPr>
          <w:rFonts w:ascii="David" w:eastAsia="Calibri" w:hAnsi="David"/>
          <w:rtl/>
        </w:rPr>
        <w:t>:</w:t>
      </w:r>
    </w:p>
    <w:p w:rsidR="00323407" w:rsidRDefault="00323407" w:rsidP="00323407">
      <w:pPr>
        <w:spacing w:line="360" w:lineRule="auto"/>
        <w:ind w:left="785"/>
        <w:contextualSpacing/>
        <w:rPr>
          <w:rFonts w:ascii="David" w:eastAsia="Calibri" w:hAnsi="David"/>
        </w:rPr>
      </w:pPr>
    </w:p>
    <w:p w:rsidR="00A42EAF" w:rsidRDefault="00A42EAF" w:rsidP="00B1227B">
      <w:pPr>
        <w:spacing w:line="360" w:lineRule="auto"/>
        <w:ind w:left="720"/>
        <w:contextualSpacing/>
        <w:jc w:val="both"/>
        <w:rPr>
          <w:rFonts w:ascii="David" w:eastAsia="Calibri" w:hAnsi="David"/>
          <w:b/>
          <w:bCs/>
        </w:rPr>
      </w:pPr>
      <w:r>
        <w:rPr>
          <w:rFonts w:ascii="David" w:eastAsia="Calibri" w:hAnsi="David"/>
          <w:b/>
          <w:bCs/>
          <w:rtl/>
        </w:rPr>
        <w:t>"(א)המצווה רשאי לצוות לשניים על מנת שיזכה השני אחרי שזכה הראשון; השני יזכה במות הראשון או בהתקיים התנאי או בהגיע המועד שנקבע לכך בצוואה, הכל לפי המוקדם יותר.</w:t>
      </w:r>
    </w:p>
    <w:p w:rsidR="00A42EAF" w:rsidRDefault="00A42EAF" w:rsidP="00B1227B">
      <w:pPr>
        <w:spacing w:line="360" w:lineRule="auto"/>
        <w:ind w:left="720"/>
        <w:contextualSpacing/>
        <w:jc w:val="both"/>
        <w:rPr>
          <w:rFonts w:ascii="David" w:eastAsia="Calibri" w:hAnsi="David"/>
          <w:b/>
          <w:bCs/>
          <w:rtl/>
        </w:rPr>
      </w:pPr>
      <w:r>
        <w:rPr>
          <w:rFonts w:ascii="David" w:eastAsia="Calibri" w:hAnsi="David"/>
          <w:b/>
          <w:bCs/>
          <w:rtl/>
        </w:rPr>
        <w:t>(ב)הראשון רשאי לעשות במה שקיבל כבתוך שלו, והשני לא יזכה אלא במה ששייר הראשון; אולם אין הראשון יכול לגרוע מזכותו של השני על ידי צוואה.</w:t>
      </w:r>
    </w:p>
    <w:p w:rsidR="00A42EAF" w:rsidRDefault="00A42EAF" w:rsidP="00B1227B">
      <w:pPr>
        <w:spacing w:line="360" w:lineRule="auto"/>
        <w:ind w:left="720"/>
        <w:contextualSpacing/>
        <w:jc w:val="both"/>
        <w:rPr>
          <w:rFonts w:ascii="David" w:eastAsia="Calibri" w:hAnsi="David"/>
          <w:b/>
          <w:bCs/>
          <w:rtl/>
        </w:rPr>
      </w:pPr>
      <w:r>
        <w:rPr>
          <w:rFonts w:ascii="David" w:eastAsia="Calibri" w:hAnsi="David"/>
          <w:b/>
          <w:bCs/>
          <w:rtl/>
        </w:rPr>
        <w:t>(ג)השני יזכה אם היה כשר לרשת את המצווה בשעת זכייתו, אף אם לא היה כשר לכך במות המצווה; מת השני לפני שעת זכייתו או שנמצא פסול לרשת או שהסתלק מן המגיע לו, הוראת הצוואה לטובתו מתבטלת.</w:t>
      </w:r>
    </w:p>
    <w:p w:rsidR="00A42EAF" w:rsidRDefault="00A42EAF" w:rsidP="00B1227B">
      <w:pPr>
        <w:spacing w:line="360" w:lineRule="auto"/>
        <w:ind w:left="720"/>
        <w:contextualSpacing/>
        <w:jc w:val="both"/>
        <w:rPr>
          <w:rFonts w:ascii="David" w:eastAsia="Calibri" w:hAnsi="David"/>
          <w:b/>
          <w:bCs/>
          <w:rtl/>
        </w:rPr>
      </w:pPr>
      <w:r>
        <w:rPr>
          <w:rFonts w:ascii="David" w:eastAsia="Calibri" w:hAnsi="David"/>
          <w:b/>
          <w:bCs/>
          <w:rtl/>
        </w:rPr>
        <w:t>(ד)הוראת צוואה על דרך זו ליותר משניים – בטלה, זולת הוראה לטובתו של מי שהיה בחיים בשעת עשיית הצוואה."</w:t>
      </w:r>
    </w:p>
    <w:p w:rsidR="00323407" w:rsidRDefault="00323407" w:rsidP="00A42EAF">
      <w:pPr>
        <w:spacing w:line="360" w:lineRule="auto"/>
        <w:ind w:left="720"/>
        <w:contextualSpacing/>
        <w:rPr>
          <w:rFonts w:ascii="David" w:eastAsia="Calibri" w:hAnsi="David"/>
          <w:b/>
          <w:bCs/>
          <w:rtl/>
        </w:rPr>
      </w:pPr>
    </w:p>
    <w:p w:rsidR="00A42EAF" w:rsidRDefault="00A42EAF" w:rsidP="00B1227B">
      <w:pPr>
        <w:numPr>
          <w:ilvl w:val="0"/>
          <w:numId w:val="1"/>
        </w:numPr>
        <w:spacing w:line="360" w:lineRule="auto"/>
        <w:contextualSpacing/>
        <w:jc w:val="both"/>
        <w:rPr>
          <w:rFonts w:ascii="David" w:eastAsia="Calibri" w:hAnsi="David"/>
        </w:rPr>
      </w:pPr>
      <w:r>
        <w:rPr>
          <w:rFonts w:ascii="David" w:eastAsia="Calibri" w:hAnsi="David"/>
          <w:rtl/>
        </w:rPr>
        <w:lastRenderedPageBreak/>
        <w:t xml:space="preserve">עפ"י האמור </w:t>
      </w:r>
      <w:r>
        <w:rPr>
          <w:rFonts w:ascii="David" w:eastAsia="Calibri" w:hAnsi="David"/>
          <w:b/>
          <w:bCs/>
          <w:rtl/>
        </w:rPr>
        <w:t>בסעיף 42 (ב) לחוק</w:t>
      </w:r>
      <w:r>
        <w:rPr>
          <w:rFonts w:ascii="David" w:eastAsia="Calibri" w:hAnsi="David"/>
          <w:rtl/>
        </w:rPr>
        <w:t>, כאשר בצוואה נקבע הסדר בדבר "יורש אחר יורש", הזוכה הראשון רשאי לעשות בנכסי העזבון "</w:t>
      </w:r>
      <w:r w:rsidRPr="00323407">
        <w:rPr>
          <w:rFonts w:ascii="David" w:eastAsia="Calibri" w:hAnsi="David"/>
          <w:b/>
          <w:bCs/>
          <w:rtl/>
        </w:rPr>
        <w:t>כבתוך שלו</w:t>
      </w:r>
      <w:r>
        <w:rPr>
          <w:rFonts w:ascii="David" w:eastAsia="Calibri" w:hAnsi="David"/>
          <w:rtl/>
        </w:rPr>
        <w:t>".</w:t>
      </w:r>
    </w:p>
    <w:p w:rsidR="00323407" w:rsidRDefault="00323407" w:rsidP="00323407">
      <w:pPr>
        <w:spacing w:line="360" w:lineRule="auto"/>
        <w:ind w:left="785"/>
        <w:contextualSpacing/>
        <w:rPr>
          <w:rFonts w:ascii="David" w:eastAsia="Calibri" w:hAnsi="David"/>
        </w:rPr>
      </w:pPr>
    </w:p>
    <w:p w:rsidR="00A42EAF" w:rsidRDefault="00A42EAF" w:rsidP="00B1227B">
      <w:pPr>
        <w:numPr>
          <w:ilvl w:val="0"/>
          <w:numId w:val="1"/>
        </w:numPr>
        <w:spacing w:line="360" w:lineRule="auto"/>
        <w:contextualSpacing/>
        <w:jc w:val="both"/>
        <w:rPr>
          <w:rFonts w:ascii="David" w:eastAsia="Calibri" w:hAnsi="David"/>
        </w:rPr>
      </w:pPr>
      <w:r>
        <w:rPr>
          <w:rFonts w:ascii="David" w:eastAsia="Calibri" w:hAnsi="David"/>
          <w:rtl/>
        </w:rPr>
        <w:t xml:space="preserve">כפי שצוין ע"י </w:t>
      </w:r>
      <w:r>
        <w:rPr>
          <w:rFonts w:ascii="David" w:eastAsia="Calibri" w:hAnsi="David"/>
          <w:b/>
          <w:bCs/>
          <w:rtl/>
        </w:rPr>
        <w:t>כב' השופט שוחט</w:t>
      </w:r>
      <w:r>
        <w:rPr>
          <w:rFonts w:ascii="David" w:eastAsia="Calibri" w:hAnsi="David"/>
          <w:rtl/>
        </w:rPr>
        <w:t xml:space="preserve"> בהחלטתו בבקשת רשות הערעור אשר הוגשה ע"י התובעת במסגרת </w:t>
      </w:r>
      <w:r>
        <w:rPr>
          <w:rFonts w:ascii="David" w:eastAsia="Calibri" w:hAnsi="David"/>
          <w:b/>
          <w:bCs/>
          <w:rtl/>
        </w:rPr>
        <w:t>רמ"ש 30048-04-23</w:t>
      </w:r>
      <w:r>
        <w:rPr>
          <w:rFonts w:ascii="David" w:eastAsia="Calibri" w:hAnsi="David"/>
          <w:rtl/>
        </w:rPr>
        <w:t>:</w:t>
      </w:r>
    </w:p>
    <w:p w:rsidR="00323407" w:rsidRDefault="00323407" w:rsidP="00323407">
      <w:pPr>
        <w:spacing w:line="360" w:lineRule="auto"/>
        <w:contextualSpacing/>
        <w:rPr>
          <w:rFonts w:ascii="David" w:eastAsia="Calibri" w:hAnsi="David"/>
        </w:rPr>
      </w:pPr>
    </w:p>
    <w:p w:rsidR="00A42EAF" w:rsidRDefault="00A42EAF" w:rsidP="00B1227B">
      <w:pPr>
        <w:spacing w:line="360" w:lineRule="auto"/>
        <w:ind w:left="785"/>
        <w:contextualSpacing/>
        <w:jc w:val="both"/>
        <w:rPr>
          <w:rFonts w:ascii="David" w:eastAsia="Calibri" w:hAnsi="David"/>
          <w:b/>
          <w:bCs/>
          <w:rtl/>
        </w:rPr>
      </w:pPr>
      <w:r>
        <w:rPr>
          <w:rFonts w:ascii="David" w:eastAsia="Calibri" w:hAnsi="David"/>
          <w:rtl/>
        </w:rPr>
        <w:t xml:space="preserve">" </w:t>
      </w:r>
      <w:r>
        <w:rPr>
          <w:rFonts w:ascii="David" w:eastAsia="Calibri" w:hAnsi="David"/>
          <w:b/>
          <w:bCs/>
          <w:rtl/>
        </w:rPr>
        <w:t>כידוע, הכלל הוא כי  משזכה היורש הראשון, גורל הרכוש נתון בידיו והוא רשאי לעשות בו כרצונו (ס' 42 לחוק הירושה וראו ש.שוחט , נ.פינברג וי.פלומין,דיני ירושה ועיזבון, מהדורה שביעית , תשע"ד-2014, בעמ' 151 והאסמכתאות המובאות שם). מבלי לקבוע דבר באשר לסיכויי תביעת המבקשים,  הרי שאפילו אם יצלחו בהוכחת טענתם לפרשנות הצוואה וביהמ"ש קמא יקבע את מעמדם כ"יורש אחר יורש" ( שלשם כך התבקשה עדות לקפיש) הוכחת קיומן של נסיבות עובדתיות (לטענתם בשורה של פעולות שביצעה האלמנה לאחר זכייתה) ועילת תביעה משפטית מכוחה קמה להם הזכות לקבל סעדים שיאסרו על האלמנה לבצע כל פעולה בנכסי המנוח אותן ירשה (וזאת חרף העובדה שבמקרה דנן הצוואה נעדרת הוראות מצד המנוח המטילות מגבלות על האלמנה מלעשות בעיזבון כרצונה) אינה פשוטה כלל ועיקר, ועל פני הדברים אף מורכבת לא פחות מהוכחת מעמדם הנטען של המבקשים (כיורש אחר יורש). מכאן שגם מקום בו תידחה תביעת המבקשים, למצער הסעד העיקרי לו עתרו בתביעתם, בטעמים שאינם נוגעים למעמדם הנטען כ"יורש אחר יורש" – ייתכן ויתייתר הצורך לדון בשאלה. "</w:t>
      </w:r>
    </w:p>
    <w:p w:rsidR="00323407" w:rsidRDefault="00323407" w:rsidP="00A42EAF">
      <w:pPr>
        <w:spacing w:line="360" w:lineRule="auto"/>
        <w:ind w:left="720"/>
        <w:contextualSpacing/>
        <w:rPr>
          <w:rFonts w:ascii="David" w:eastAsia="Calibri" w:hAnsi="David"/>
          <w:b/>
          <w:bCs/>
        </w:rPr>
      </w:pPr>
    </w:p>
    <w:p w:rsidR="00A42EAF" w:rsidRDefault="00A42EAF" w:rsidP="00B1227B">
      <w:pPr>
        <w:spacing w:line="360" w:lineRule="auto"/>
        <w:ind w:left="720"/>
        <w:contextualSpacing/>
        <w:jc w:val="both"/>
        <w:rPr>
          <w:rFonts w:ascii="David" w:eastAsia="Calibri" w:hAnsi="David"/>
          <w:rtl/>
        </w:rPr>
      </w:pPr>
      <w:r>
        <w:rPr>
          <w:rFonts w:ascii="David" w:eastAsia="Calibri" w:hAnsi="David"/>
          <w:rtl/>
        </w:rPr>
        <w:t xml:space="preserve">(ר' גם בעניין זה: החלטתו של </w:t>
      </w:r>
      <w:r>
        <w:rPr>
          <w:rFonts w:ascii="David" w:eastAsia="Calibri" w:hAnsi="David"/>
          <w:b/>
          <w:bCs/>
          <w:rtl/>
        </w:rPr>
        <w:t>כב' השופט סולברג</w:t>
      </w:r>
      <w:r>
        <w:rPr>
          <w:rFonts w:ascii="David" w:eastAsia="Calibri" w:hAnsi="David"/>
          <w:rtl/>
        </w:rPr>
        <w:t xml:space="preserve"> בבקשת רשות הערעור, אשר הוגשה על החלטתו של כב' השופט שוחט במסגרת </w:t>
      </w:r>
      <w:r>
        <w:rPr>
          <w:rFonts w:ascii="David" w:eastAsia="Calibri" w:hAnsi="David"/>
          <w:b/>
          <w:bCs/>
          <w:rtl/>
        </w:rPr>
        <w:t>בע"מ 7216/23</w:t>
      </w:r>
      <w:r>
        <w:rPr>
          <w:rFonts w:ascii="David" w:eastAsia="Calibri" w:hAnsi="David"/>
          <w:rtl/>
        </w:rPr>
        <w:t>).</w:t>
      </w:r>
    </w:p>
    <w:p w:rsidR="00B1227B" w:rsidRDefault="00B1227B" w:rsidP="00B1227B">
      <w:pPr>
        <w:spacing w:line="360" w:lineRule="auto"/>
        <w:ind w:left="720"/>
        <w:contextualSpacing/>
        <w:jc w:val="both"/>
        <w:rPr>
          <w:rFonts w:ascii="David" w:eastAsia="Calibri" w:hAnsi="David"/>
          <w:rtl/>
        </w:rPr>
      </w:pPr>
    </w:p>
    <w:p w:rsidR="00A42EAF" w:rsidRDefault="00A42EAF" w:rsidP="00A42EAF">
      <w:pPr>
        <w:pStyle w:val="ad"/>
        <w:numPr>
          <w:ilvl w:val="0"/>
          <w:numId w:val="1"/>
        </w:numPr>
        <w:spacing w:line="360" w:lineRule="auto"/>
        <w:rPr>
          <w:rFonts w:ascii="David" w:eastAsia="Calibri" w:hAnsi="David"/>
        </w:rPr>
      </w:pPr>
      <w:r>
        <w:rPr>
          <w:rFonts w:ascii="David" w:eastAsia="Calibri" w:hAnsi="David"/>
          <w:rtl/>
        </w:rPr>
        <w:t>ב</w:t>
      </w:r>
      <w:r>
        <w:rPr>
          <w:rFonts w:ascii="David" w:eastAsia="Calibri" w:hAnsi="David"/>
          <w:b/>
          <w:bCs/>
          <w:rtl/>
        </w:rPr>
        <w:t>ת"ע( ב"ש) 1491/07</w:t>
      </w:r>
      <w:r>
        <w:rPr>
          <w:rFonts w:ascii="David" w:eastAsia="Calibri" w:hAnsi="David"/>
          <w:rtl/>
        </w:rPr>
        <w:t xml:space="preserve"> (מיום 28.11.2010) נדרשה </w:t>
      </w:r>
      <w:r>
        <w:rPr>
          <w:rFonts w:ascii="David" w:eastAsia="Calibri" w:hAnsi="David"/>
          <w:b/>
          <w:bCs/>
          <w:rtl/>
        </w:rPr>
        <w:t>כב' השופטת גאולה לוין</w:t>
      </w:r>
      <w:r>
        <w:rPr>
          <w:rFonts w:ascii="David" w:eastAsia="Calibri" w:hAnsi="David"/>
          <w:rtl/>
        </w:rPr>
        <w:t xml:space="preserve"> להכריע בשאלה באם הזוכה עפ"י הצוואה זכאי למכור נכס מנכסי העזבון, עת נטושה מחלוקת בין הצדדים בדבר פרשנות הצוואה:</w:t>
      </w:r>
    </w:p>
    <w:p w:rsidR="00323407" w:rsidRDefault="00323407" w:rsidP="00323407">
      <w:pPr>
        <w:pStyle w:val="ad"/>
        <w:spacing w:line="360" w:lineRule="auto"/>
        <w:ind w:left="785"/>
        <w:rPr>
          <w:rFonts w:ascii="David" w:eastAsia="Calibri" w:hAnsi="David"/>
          <w:rtl/>
        </w:rPr>
      </w:pPr>
    </w:p>
    <w:p w:rsidR="00A42EAF" w:rsidRDefault="00A42EAF" w:rsidP="00B1227B">
      <w:pPr>
        <w:pStyle w:val="ad"/>
        <w:spacing w:line="360" w:lineRule="auto"/>
        <w:ind w:left="785"/>
        <w:jc w:val="both"/>
        <w:rPr>
          <w:rFonts w:ascii="David" w:eastAsia="Calibri" w:hAnsi="David"/>
          <w:b/>
          <w:bCs/>
        </w:rPr>
      </w:pPr>
      <w:r>
        <w:rPr>
          <w:rFonts w:ascii="David" w:eastAsia="Calibri" w:hAnsi="David"/>
          <w:b/>
          <w:bCs/>
          <w:rtl/>
        </w:rPr>
        <w:t xml:space="preserve">"השאלה האם הצוואה יוצרת הסדר של "יורש אחר יורש" או הסדר של "יורש במקום יורש" אינה מכרעת לשאלה האם רשאי המבקש למכור את הנכס. שהרי כך או אחרת, ואפילו עסקינן ב"יורש אחר יורש", היורש "הראשון רשאי לעשות במה שקיבל כבתוך שלו והשני לא יזכה אלא במה ששייר הראשון" (סעיף 42(ב) לחוק הירושה) אלא אם כן ישנה הוראה בצוואה האומרת אחרת, הוראה המגבילה את כוחו של הראשון לעשות בנכס כבתוך שלו (סעיף 53 לחוק הירושה; ראו גם בע"מ 10807/03 זמיר נ' גמליאל (לא פורסם) [פורסם בנבו]; ע"א 4402/98 מלמד נ' סלומון פ"ד נג(5) 703). כן יש לזכור כי אפילו אין עסקינן </w:t>
      </w:r>
      <w:r>
        <w:rPr>
          <w:rFonts w:ascii="David" w:eastAsia="Calibri" w:hAnsi="David"/>
          <w:b/>
          <w:bCs/>
          <w:rtl/>
        </w:rPr>
        <w:lastRenderedPageBreak/>
        <w:t xml:space="preserve">ב"יורש אחר יורש", המורישה יכולה לכלול בצוואה הוראות לגבי דברים שיורש חייב לעשותם הוא להימנע מעשותם (סעיף 45 לחוק הירושה). </w:t>
      </w:r>
    </w:p>
    <w:p w:rsidR="00A42EAF" w:rsidRDefault="00A42EAF" w:rsidP="00B1227B">
      <w:pPr>
        <w:pStyle w:val="ad"/>
        <w:spacing w:line="360" w:lineRule="auto"/>
        <w:ind w:left="785"/>
        <w:jc w:val="both"/>
        <w:rPr>
          <w:rFonts w:ascii="David" w:eastAsia="Calibri" w:hAnsi="David"/>
          <w:b/>
          <w:bCs/>
          <w:rtl/>
        </w:rPr>
      </w:pPr>
    </w:p>
    <w:p w:rsidR="00A42EAF" w:rsidRDefault="00A42EAF" w:rsidP="00B1227B">
      <w:pPr>
        <w:pStyle w:val="ad"/>
        <w:spacing w:line="360" w:lineRule="auto"/>
        <w:ind w:left="785"/>
        <w:jc w:val="both"/>
        <w:rPr>
          <w:rFonts w:ascii="David" w:eastAsia="Calibri" w:hAnsi="David"/>
          <w:b/>
          <w:bCs/>
          <w:rtl/>
        </w:rPr>
      </w:pPr>
      <w:r>
        <w:rPr>
          <w:rFonts w:ascii="David" w:eastAsia="Calibri" w:hAnsi="David"/>
          <w:b/>
          <w:bCs/>
          <w:rtl/>
        </w:rPr>
        <w:t xml:space="preserve">השאלה הטעונה הכרעה היא איפוא האם יש בצוואה הוראה המסייגת את זכותו של המבקש לעשות במה שקיבל כבתוך שלו" או הוראה המטילה עליו חיובים במובן סעיף 45 לחוק הירושה, לפיהם עליו להימנע ממכירת הנכס. בע"א 1182/90 שחם נ' רוטמן, פ"ד מו(4) 330, מנה כב' השופט חשין שלושה מצבים אפשריים בקשר להגבלת כוחו של היורש הראשון לעשות בנכס כבתוך שלו. וכך הוא כותב: </w:t>
      </w:r>
    </w:p>
    <w:p w:rsidR="00A42EAF" w:rsidRDefault="00A42EAF" w:rsidP="00B1227B">
      <w:pPr>
        <w:pStyle w:val="ad"/>
        <w:spacing w:line="360" w:lineRule="auto"/>
        <w:ind w:left="785"/>
        <w:jc w:val="both"/>
        <w:rPr>
          <w:rFonts w:ascii="David" w:eastAsia="Calibri" w:hAnsi="David"/>
          <w:b/>
          <w:bCs/>
          <w:rtl/>
        </w:rPr>
      </w:pPr>
      <w:r>
        <w:rPr>
          <w:rFonts w:ascii="David" w:eastAsia="Calibri" w:hAnsi="David"/>
          <w:b/>
          <w:bCs/>
          <w:rtl/>
        </w:rPr>
        <w:t>"שלושה מצבים מעמידים עצמם לפנינו: הראשון הוא, שמוריש קובע מפורשות ובלשון ברורה הגבלות על כוחו של יורש ראשון לנהוג בנכסי הירושה מנהג בעלים; השני הוא, שמוריש אינו קובע כך מפורשות ובלשון ברורה, אך ניתן להסיק כוונתו זו מכלל הוראות הצוואה ומחומר לגיטימי אחר לפירוש הצוואה... המצב השלישי הוא, שמוריש אינו קובע אלא הוראה של יורש אחר יורש על דרך הסתם ... "</w:t>
      </w:r>
    </w:p>
    <w:p w:rsidR="00A42EAF" w:rsidRDefault="00A42EAF" w:rsidP="00B1227B">
      <w:pPr>
        <w:pStyle w:val="ad"/>
        <w:spacing w:line="360" w:lineRule="auto"/>
        <w:ind w:left="785"/>
        <w:jc w:val="both"/>
        <w:rPr>
          <w:rFonts w:ascii="David" w:eastAsia="Calibri" w:hAnsi="David"/>
          <w:b/>
          <w:bCs/>
          <w:rtl/>
        </w:rPr>
      </w:pPr>
      <w:r>
        <w:rPr>
          <w:rFonts w:ascii="David" w:eastAsia="Calibri" w:hAnsi="David"/>
          <w:b/>
          <w:bCs/>
          <w:rtl/>
        </w:rPr>
        <w:t xml:space="preserve">בנוסף, סעיף 45 לחוק הירושה מתייחס לאפשרות לקבוע הוראות ו/או הגבלות בצוואה המוטלות על היורש, בלי לקשר לשאלה אם הוא יורש ראשון בהסדר של "יורש אחר יורש". וכך מורה אותנו החוק: </w:t>
      </w:r>
    </w:p>
    <w:p w:rsidR="00A42EAF" w:rsidRDefault="00A42EAF" w:rsidP="00B1227B">
      <w:pPr>
        <w:pStyle w:val="ad"/>
        <w:spacing w:line="360" w:lineRule="auto"/>
        <w:ind w:left="785"/>
        <w:jc w:val="both"/>
        <w:rPr>
          <w:rFonts w:ascii="David" w:eastAsia="Calibri" w:hAnsi="David"/>
          <w:b/>
          <w:bCs/>
          <w:rtl/>
        </w:rPr>
      </w:pPr>
      <w:r>
        <w:rPr>
          <w:rFonts w:ascii="David" w:eastAsia="Calibri" w:hAnsi="David"/>
          <w:b/>
          <w:bCs/>
          <w:rtl/>
        </w:rPr>
        <w:t>"המצווה רשאי להורות בצוואתו דבר שיורש יהיה חייב לעשותו, או להימנע מעשותו, במה שקיבל מן העזבון; מילויו של חיוב כזה יכול לדרוש כל מי שמעונין במילוי, ואם היה בדבר ענין לציבור - גם היועץ המשפטי לממשלה או בא כוחו."</w:t>
      </w:r>
    </w:p>
    <w:p w:rsidR="00323407" w:rsidRDefault="00323407" w:rsidP="00A42EAF">
      <w:pPr>
        <w:pStyle w:val="ad"/>
        <w:spacing w:line="360" w:lineRule="auto"/>
        <w:ind w:left="785"/>
        <w:rPr>
          <w:rFonts w:ascii="David" w:eastAsia="Calibri" w:hAnsi="David"/>
          <w:b/>
          <w:bCs/>
          <w:rtl/>
        </w:rPr>
      </w:pPr>
    </w:p>
    <w:p w:rsidR="00A42EAF" w:rsidRDefault="00A42EAF" w:rsidP="00A42EAF">
      <w:pPr>
        <w:pStyle w:val="ad"/>
        <w:numPr>
          <w:ilvl w:val="0"/>
          <w:numId w:val="1"/>
        </w:numPr>
        <w:spacing w:line="360" w:lineRule="auto"/>
        <w:rPr>
          <w:rFonts w:ascii="David" w:eastAsia="Calibri" w:hAnsi="David"/>
          <w:rtl/>
        </w:rPr>
      </w:pPr>
      <w:r>
        <w:rPr>
          <w:rFonts w:ascii="David" w:eastAsia="Calibri" w:hAnsi="David"/>
          <w:rtl/>
        </w:rPr>
        <w:t xml:space="preserve">במקרה דנן, ועפ"י הוראות סעיף 4 לצוואה, המנוח ביקש לצוות את מלוא רכושו לנתבעת 1.       </w:t>
      </w:r>
    </w:p>
    <w:p w:rsidR="00A42EAF" w:rsidRDefault="00A42EAF" w:rsidP="00B1227B">
      <w:pPr>
        <w:pStyle w:val="ad"/>
        <w:spacing w:line="360" w:lineRule="auto"/>
        <w:ind w:left="785"/>
        <w:jc w:val="both"/>
        <w:rPr>
          <w:rFonts w:ascii="David" w:eastAsia="Calibri" w:hAnsi="David"/>
          <w:rtl/>
        </w:rPr>
      </w:pPr>
      <w:r>
        <w:rPr>
          <w:rFonts w:ascii="David" w:eastAsia="Calibri" w:hAnsi="David"/>
          <w:rtl/>
        </w:rPr>
        <w:t>הדבר צוין באופן מפורש בצוואה, כאשר לא מצאתי, הן מלשון הצוואה והן מהראיות/עדויות שהובאו לפני, תימוכין לכך כי המנוח ביקש להגביל את כוחה של הנתבעת 1 לעשות  בנכסי העיזבון כרצונה, אלא הורה על העברת הנכסים "לבעלותה המליאה והיחידה".</w:t>
      </w:r>
    </w:p>
    <w:p w:rsidR="00323407" w:rsidRDefault="00323407" w:rsidP="00A42EAF">
      <w:pPr>
        <w:pStyle w:val="ad"/>
        <w:spacing w:line="360" w:lineRule="auto"/>
        <w:ind w:left="785"/>
        <w:rPr>
          <w:rFonts w:ascii="David" w:eastAsia="Calibri" w:hAnsi="David"/>
        </w:rPr>
      </w:pPr>
    </w:p>
    <w:p w:rsidR="00A42EAF" w:rsidRDefault="00A42EAF" w:rsidP="00A42EAF">
      <w:pPr>
        <w:pStyle w:val="ad"/>
        <w:spacing w:line="360" w:lineRule="auto"/>
        <w:ind w:left="785"/>
        <w:rPr>
          <w:rFonts w:ascii="David" w:eastAsia="Calibri" w:hAnsi="David"/>
          <w:rtl/>
        </w:rPr>
      </w:pPr>
      <w:r>
        <w:rPr>
          <w:rFonts w:ascii="David" w:eastAsia="Calibri" w:hAnsi="David"/>
          <w:rtl/>
        </w:rPr>
        <w:t>לו חפץ המנוח להגביל את כחה של הנתבעת 1, סביר להניח כי היה כולל ההגבלה בהוראות הצוואה.</w:t>
      </w:r>
    </w:p>
    <w:p w:rsidR="00A42EAF" w:rsidRDefault="00A42EAF" w:rsidP="00A42EAF">
      <w:pPr>
        <w:pStyle w:val="ad"/>
        <w:spacing w:line="360" w:lineRule="auto"/>
        <w:ind w:left="785"/>
        <w:rPr>
          <w:rFonts w:ascii="David" w:eastAsia="Calibri" w:hAnsi="David"/>
          <w:rtl/>
        </w:rPr>
      </w:pPr>
    </w:p>
    <w:p w:rsidR="00A42EAF" w:rsidRDefault="00A42EAF" w:rsidP="00B1227B">
      <w:pPr>
        <w:pStyle w:val="ad"/>
        <w:numPr>
          <w:ilvl w:val="0"/>
          <w:numId w:val="1"/>
        </w:numPr>
        <w:spacing w:line="360" w:lineRule="auto"/>
        <w:jc w:val="both"/>
        <w:rPr>
          <w:rFonts w:ascii="David" w:eastAsia="Calibri" w:hAnsi="David"/>
          <w:rtl/>
        </w:rPr>
      </w:pPr>
      <w:r>
        <w:rPr>
          <w:rFonts w:ascii="David" w:eastAsia="Calibri" w:hAnsi="David"/>
          <w:rtl/>
        </w:rPr>
        <w:t xml:space="preserve">לא מצאתי אף לקבל טענת המשיבים כי יש בהוראות סעיף 5 לצוואה, לפיהן הוענקה לנתבעת 1 לזכות מגורים כדי להצביע על רצונו של המנוח בהגבלת העבירות ביחס לנכסי העזבון, כאשר הצוואה לא כוללת הוראה מפורשת האוסרת על הנתבעת 1 לעשות דיספוזיציה בנכסים. </w:t>
      </w:r>
    </w:p>
    <w:p w:rsidR="00A42EAF" w:rsidRDefault="00A42EAF" w:rsidP="00B1227B">
      <w:pPr>
        <w:pStyle w:val="ad"/>
        <w:spacing w:line="360" w:lineRule="auto"/>
        <w:ind w:left="785"/>
        <w:jc w:val="both"/>
        <w:rPr>
          <w:rFonts w:ascii="David" w:eastAsia="Calibri" w:hAnsi="David"/>
        </w:rPr>
      </w:pPr>
      <w:r>
        <w:rPr>
          <w:rFonts w:ascii="David" w:eastAsia="Calibri" w:hAnsi="David"/>
          <w:rtl/>
        </w:rPr>
        <w:t>נראה כי, עפ"י לשון הצוואה, הוראה זו נועד למנוע פרשנות צוואה באופן בו תפגע זכות המגורים של הנתבעת 1, ותו לא.</w:t>
      </w:r>
    </w:p>
    <w:p w:rsidR="00A42EAF" w:rsidRDefault="00A42EAF" w:rsidP="00A42EAF">
      <w:pPr>
        <w:pStyle w:val="ad"/>
        <w:spacing w:line="360" w:lineRule="auto"/>
        <w:ind w:left="785"/>
        <w:rPr>
          <w:rFonts w:ascii="David" w:eastAsia="Calibri" w:hAnsi="David"/>
          <w:rtl/>
        </w:rPr>
      </w:pPr>
    </w:p>
    <w:p w:rsidR="00A42EAF" w:rsidRDefault="00A42EAF" w:rsidP="00B1227B">
      <w:pPr>
        <w:pStyle w:val="ad"/>
        <w:numPr>
          <w:ilvl w:val="0"/>
          <w:numId w:val="1"/>
        </w:numPr>
        <w:spacing w:line="360" w:lineRule="auto"/>
        <w:jc w:val="both"/>
        <w:rPr>
          <w:rFonts w:ascii="David" w:eastAsia="Calibri" w:hAnsi="David"/>
        </w:rPr>
      </w:pPr>
      <w:r>
        <w:rPr>
          <w:rFonts w:ascii="David" w:eastAsia="Calibri" w:hAnsi="David"/>
          <w:rtl/>
        </w:rPr>
        <w:lastRenderedPageBreak/>
        <w:t>אף בהוראות הצוואה (הסיפא של סעיף 6א)</w:t>
      </w:r>
      <w:r w:rsidR="00B1227B">
        <w:rPr>
          <w:rFonts w:ascii="David" w:eastAsia="Calibri" w:hAnsi="David"/>
          <w:rtl/>
        </w:rPr>
        <w:t xml:space="preserve"> המעניקות זכות מגורים בנכס בג</w:t>
      </w:r>
      <w:r w:rsidR="00B1227B">
        <w:rPr>
          <w:rFonts w:ascii="David" w:eastAsia="Calibri" w:hAnsi="David" w:hint="cs"/>
          <w:rtl/>
        </w:rPr>
        <w:t>'</w:t>
      </w:r>
      <w:r>
        <w:rPr>
          <w:rFonts w:ascii="David" w:eastAsia="Calibri" w:hAnsi="David"/>
          <w:rtl/>
        </w:rPr>
        <w:t xml:space="preserve"> לנתבעת 5, אין כדי להצביע על רצונו של המנוח בהגבלת עבירות ביחס לכלל נכסי העזבון, עת הוראות אלו מתיי</w:t>
      </w:r>
      <w:r w:rsidR="00B1227B">
        <w:rPr>
          <w:rFonts w:ascii="David" w:eastAsia="Calibri" w:hAnsi="David"/>
          <w:rtl/>
        </w:rPr>
        <w:t>חסות לנכס בג</w:t>
      </w:r>
      <w:r w:rsidR="00B1227B">
        <w:rPr>
          <w:rFonts w:ascii="David" w:eastAsia="Calibri" w:hAnsi="David" w:hint="cs"/>
          <w:rtl/>
        </w:rPr>
        <w:t>'</w:t>
      </w:r>
      <w:r>
        <w:rPr>
          <w:rFonts w:ascii="David" w:eastAsia="Calibri" w:hAnsi="David"/>
          <w:rtl/>
        </w:rPr>
        <w:t xml:space="preserve"> בלבד.</w:t>
      </w:r>
    </w:p>
    <w:p w:rsidR="00BB284F" w:rsidRDefault="00BB284F" w:rsidP="00BB284F">
      <w:pPr>
        <w:pStyle w:val="ad"/>
        <w:spacing w:line="360" w:lineRule="auto"/>
        <w:ind w:left="785"/>
        <w:rPr>
          <w:rFonts w:ascii="David" w:eastAsia="Calibri" w:hAnsi="David"/>
          <w:rtl/>
        </w:rPr>
      </w:pPr>
    </w:p>
    <w:p w:rsidR="00A42EAF" w:rsidRDefault="00BB284F" w:rsidP="00B1227B">
      <w:pPr>
        <w:pStyle w:val="ad"/>
        <w:spacing w:line="360" w:lineRule="auto"/>
        <w:ind w:left="785"/>
        <w:jc w:val="both"/>
        <w:rPr>
          <w:rFonts w:ascii="David" w:eastAsia="Calibri" w:hAnsi="David"/>
          <w:rtl/>
        </w:rPr>
      </w:pPr>
      <w:r>
        <w:rPr>
          <w:rFonts w:ascii="David" w:eastAsia="Calibri" w:hAnsi="David" w:hint="cs"/>
          <w:rtl/>
        </w:rPr>
        <w:t xml:space="preserve">יתרה מזו, </w:t>
      </w:r>
      <w:r>
        <w:rPr>
          <w:rFonts w:ascii="David" w:eastAsia="Calibri" w:hAnsi="David"/>
          <w:rtl/>
        </w:rPr>
        <w:t>סבורני כי ה</w:t>
      </w:r>
      <w:r>
        <w:rPr>
          <w:rFonts w:ascii="David" w:eastAsia="Calibri" w:hAnsi="David" w:hint="cs"/>
          <w:rtl/>
        </w:rPr>
        <w:t>וראה זו</w:t>
      </w:r>
      <w:r w:rsidR="00A42EAF">
        <w:rPr>
          <w:rFonts w:ascii="David" w:eastAsia="Calibri" w:hAnsi="David"/>
          <w:rtl/>
        </w:rPr>
        <w:t xml:space="preserve"> אך מחליש</w:t>
      </w:r>
      <w:r>
        <w:rPr>
          <w:rFonts w:ascii="David" w:eastAsia="Calibri" w:hAnsi="David" w:hint="cs"/>
          <w:rtl/>
        </w:rPr>
        <w:t>ה</w:t>
      </w:r>
      <w:r w:rsidR="00A42EAF">
        <w:rPr>
          <w:rFonts w:ascii="David" w:eastAsia="Calibri" w:hAnsi="David"/>
          <w:rtl/>
        </w:rPr>
        <w:t xml:space="preserve"> את </w:t>
      </w:r>
      <w:r>
        <w:rPr>
          <w:rFonts w:ascii="David" w:eastAsia="Calibri" w:hAnsi="David" w:hint="cs"/>
          <w:rtl/>
        </w:rPr>
        <w:t xml:space="preserve">גרסת התובעים בדבר </w:t>
      </w:r>
      <w:r>
        <w:rPr>
          <w:rFonts w:ascii="David" w:eastAsia="Calibri" w:hAnsi="David"/>
          <w:rtl/>
        </w:rPr>
        <w:t>פרשנות הצוואה</w:t>
      </w:r>
      <w:r w:rsidR="00A42EAF">
        <w:rPr>
          <w:rFonts w:ascii="David" w:eastAsia="Calibri" w:hAnsi="David"/>
          <w:rtl/>
        </w:rPr>
        <w:t>. שכן, נראה כי עת המנוח ביקש להגביל ו/או להתנות אפשרות לדיספוזיציה בנכס מנכסי העזבון, עשה כן בהוראה מפורשת ביחס לנכס הספציפי.</w:t>
      </w:r>
    </w:p>
    <w:p w:rsidR="00A42EAF" w:rsidRDefault="00A42EAF" w:rsidP="00A42EAF">
      <w:pPr>
        <w:pStyle w:val="ad"/>
        <w:spacing w:line="360" w:lineRule="auto"/>
        <w:ind w:left="785"/>
        <w:rPr>
          <w:rFonts w:ascii="David" w:eastAsia="Calibri" w:hAnsi="David"/>
          <w:rtl/>
        </w:rPr>
      </w:pPr>
    </w:p>
    <w:p w:rsidR="00A42EAF" w:rsidRDefault="00B1227B" w:rsidP="00A42EAF">
      <w:pPr>
        <w:pStyle w:val="ad"/>
        <w:numPr>
          <w:ilvl w:val="0"/>
          <w:numId w:val="1"/>
        </w:numPr>
        <w:spacing w:line="360" w:lineRule="auto"/>
        <w:rPr>
          <w:rFonts w:ascii="David" w:eastAsia="Calibri" w:hAnsi="David"/>
        </w:rPr>
      </w:pPr>
      <w:r>
        <w:rPr>
          <w:rFonts w:ascii="David" w:eastAsia="Calibri" w:hAnsi="David"/>
          <w:rtl/>
        </w:rPr>
        <w:t>בעניין הנכס בג</w:t>
      </w:r>
      <w:r>
        <w:rPr>
          <w:rFonts w:ascii="David" w:eastAsia="Calibri" w:hAnsi="David" w:hint="cs"/>
          <w:rtl/>
        </w:rPr>
        <w:t>'</w:t>
      </w:r>
      <w:r w:rsidR="00A42EAF">
        <w:rPr>
          <w:rFonts w:ascii="David" w:eastAsia="Calibri" w:hAnsi="David"/>
          <w:rtl/>
        </w:rPr>
        <w:t>, אעיר כי לא שוכנעתי כי זה נמכר לצורך "כילוי" העזבון.</w:t>
      </w:r>
    </w:p>
    <w:p w:rsidR="00BB284F" w:rsidRDefault="00BB284F" w:rsidP="00BB284F">
      <w:pPr>
        <w:pStyle w:val="ad"/>
        <w:spacing w:line="360" w:lineRule="auto"/>
        <w:ind w:left="785"/>
        <w:rPr>
          <w:rFonts w:ascii="David" w:eastAsia="Calibri" w:hAnsi="David"/>
          <w:rtl/>
        </w:rPr>
      </w:pPr>
    </w:p>
    <w:p w:rsidR="00A42EAF" w:rsidRPr="00BB284F" w:rsidRDefault="00A42EAF" w:rsidP="00B1227B">
      <w:pPr>
        <w:pStyle w:val="ad"/>
        <w:spacing w:line="360" w:lineRule="auto"/>
        <w:ind w:left="785"/>
        <w:jc w:val="both"/>
        <w:rPr>
          <w:rFonts w:ascii="David" w:eastAsia="Calibri" w:hAnsi="David"/>
          <w:b/>
          <w:bCs/>
        </w:rPr>
      </w:pPr>
      <w:r>
        <w:rPr>
          <w:rFonts w:ascii="David" w:eastAsia="Calibri" w:hAnsi="David"/>
          <w:rtl/>
        </w:rPr>
        <w:t>ראשית, הנתבעת 1 העידה כי החליטה למכור את הנכס ולחלק תמורתו עפ"י הצוואה, לאחר שהיווה נטל כלכלי עבורה (</w:t>
      </w:r>
      <w:r w:rsidRPr="00BB284F">
        <w:rPr>
          <w:rFonts w:ascii="David" w:eastAsia="Calibri" w:hAnsi="David"/>
          <w:b/>
          <w:bCs/>
          <w:rtl/>
        </w:rPr>
        <w:t>סעיף 24 לתצהיר הנתבעת 1, וחקירתה הנגדית בעמ' 135-136 לפרו'</w:t>
      </w:r>
      <w:r>
        <w:rPr>
          <w:rFonts w:ascii="David" w:eastAsia="Calibri" w:hAnsi="David"/>
          <w:rtl/>
        </w:rPr>
        <w:t>). מצאתי עדותה זו מהימנה ואף לא נסתרה ע"י הנתבעים, אשר השיבו במסגרת חקירתם הנגדית כי לא ביקרו שנים רבות בנכס ואף נכס לא שופץ מעולם בעבר (</w:t>
      </w:r>
      <w:r w:rsidRPr="00BB284F">
        <w:rPr>
          <w:rFonts w:ascii="David" w:eastAsia="Calibri" w:hAnsi="David"/>
          <w:b/>
          <w:bCs/>
          <w:rtl/>
        </w:rPr>
        <w:t>עדות התובע בעמ' 89 לפרו'  מיום 3.1.2023 ועדות התובעת בעמ'  31-32 לפרו' מיום 29.9.2022 ).</w:t>
      </w:r>
    </w:p>
    <w:p w:rsidR="00B1227B" w:rsidRDefault="00B1227B" w:rsidP="00B1227B">
      <w:pPr>
        <w:pStyle w:val="ad"/>
        <w:spacing w:line="360" w:lineRule="auto"/>
        <w:ind w:left="785"/>
        <w:jc w:val="both"/>
        <w:rPr>
          <w:rFonts w:ascii="David" w:eastAsia="Calibri" w:hAnsi="David"/>
          <w:rtl/>
        </w:rPr>
      </w:pPr>
    </w:p>
    <w:p w:rsidR="00A42EAF" w:rsidRDefault="00A42EAF" w:rsidP="00B1227B">
      <w:pPr>
        <w:pStyle w:val="ad"/>
        <w:spacing w:line="360" w:lineRule="auto"/>
        <w:ind w:left="785"/>
        <w:jc w:val="both"/>
        <w:rPr>
          <w:rFonts w:ascii="David" w:eastAsia="Calibri" w:hAnsi="David"/>
          <w:rtl/>
        </w:rPr>
      </w:pPr>
      <w:r>
        <w:rPr>
          <w:rFonts w:ascii="David" w:eastAsia="Calibri" w:hAnsi="David"/>
          <w:rtl/>
        </w:rPr>
        <w:t>שנית, התובעים לא הוכיחו טענתם כי הנכס ב</w:t>
      </w:r>
      <w:r w:rsidR="00B1227B">
        <w:rPr>
          <w:rFonts w:ascii="David" w:eastAsia="Calibri" w:hAnsi="David" w:hint="cs"/>
          <w:rtl/>
        </w:rPr>
        <w:t>ג'</w:t>
      </w:r>
      <w:r>
        <w:rPr>
          <w:rFonts w:ascii="David" w:eastAsia="Calibri" w:hAnsi="David"/>
          <w:rtl/>
        </w:rPr>
        <w:t xml:space="preserve"> נמכר בסכום הנמוך משווי השוק.</w:t>
      </w:r>
    </w:p>
    <w:p w:rsidR="00B1227B" w:rsidRDefault="00B1227B" w:rsidP="00B1227B">
      <w:pPr>
        <w:pStyle w:val="ad"/>
        <w:spacing w:line="360" w:lineRule="auto"/>
        <w:ind w:left="785"/>
        <w:jc w:val="both"/>
        <w:rPr>
          <w:rFonts w:ascii="David" w:eastAsia="Calibri" w:hAnsi="David"/>
          <w:rtl/>
        </w:rPr>
      </w:pPr>
    </w:p>
    <w:p w:rsidR="00A42EAF" w:rsidRDefault="00A42EAF" w:rsidP="00B1227B">
      <w:pPr>
        <w:pStyle w:val="ad"/>
        <w:spacing w:line="360" w:lineRule="auto"/>
        <w:ind w:left="785"/>
        <w:jc w:val="both"/>
        <w:rPr>
          <w:rFonts w:ascii="David" w:eastAsia="Calibri" w:hAnsi="David"/>
          <w:rtl/>
        </w:rPr>
      </w:pPr>
      <w:r>
        <w:rPr>
          <w:rFonts w:ascii="David" w:eastAsia="Calibri" w:hAnsi="David"/>
          <w:rtl/>
        </w:rPr>
        <w:t>שלישית, עפ"י הוראות הצוואה ה</w:t>
      </w:r>
      <w:r w:rsidR="00B1227B">
        <w:rPr>
          <w:rFonts w:ascii="David" w:eastAsia="Calibri" w:hAnsi="David"/>
          <w:rtl/>
        </w:rPr>
        <w:t>תובעים כלל אינם זוכים בנכס בג</w:t>
      </w:r>
      <w:r w:rsidR="00B1227B">
        <w:rPr>
          <w:rFonts w:ascii="David" w:eastAsia="Calibri" w:hAnsi="David" w:hint="cs"/>
          <w:rtl/>
        </w:rPr>
        <w:t>'</w:t>
      </w:r>
      <w:r>
        <w:rPr>
          <w:rFonts w:ascii="David" w:eastAsia="Calibri" w:hAnsi="David"/>
          <w:rtl/>
        </w:rPr>
        <w:t>. על כן, לא ברורה טענתם ביחס לנכס</w:t>
      </w:r>
      <w:r w:rsidR="00BB284F">
        <w:rPr>
          <w:rFonts w:ascii="David" w:eastAsia="Calibri" w:hAnsi="David"/>
          <w:rtl/>
        </w:rPr>
        <w:t xml:space="preserve"> זה</w:t>
      </w:r>
      <w:r w:rsidR="00BB284F">
        <w:rPr>
          <w:rFonts w:ascii="David" w:eastAsia="Calibri" w:hAnsi="David" w:hint="cs"/>
          <w:rtl/>
        </w:rPr>
        <w:t xml:space="preserve"> ועצם מכירתו כלל אינה פוגעת בזכויותיהם עפ"י הצוואה.</w:t>
      </w:r>
      <w:r>
        <w:rPr>
          <w:rFonts w:ascii="David" w:eastAsia="Calibri" w:hAnsi="David"/>
          <w:rtl/>
        </w:rPr>
        <w:t xml:space="preserve"> </w:t>
      </w:r>
    </w:p>
    <w:p w:rsidR="00BB284F" w:rsidRPr="00BB284F" w:rsidRDefault="00BB284F" w:rsidP="00BB284F">
      <w:pPr>
        <w:spacing w:line="360" w:lineRule="auto"/>
        <w:rPr>
          <w:rFonts w:ascii="David" w:eastAsia="Calibri" w:hAnsi="David"/>
          <w:rtl/>
        </w:rPr>
      </w:pPr>
    </w:p>
    <w:p w:rsidR="00A42EAF" w:rsidRDefault="00BB284F" w:rsidP="00B1227B">
      <w:pPr>
        <w:pStyle w:val="ad"/>
        <w:numPr>
          <w:ilvl w:val="0"/>
          <w:numId w:val="1"/>
        </w:numPr>
        <w:spacing w:line="360" w:lineRule="auto"/>
        <w:jc w:val="both"/>
        <w:rPr>
          <w:rFonts w:ascii="David" w:eastAsia="Calibri" w:hAnsi="David"/>
        </w:rPr>
      </w:pPr>
      <w:r>
        <w:rPr>
          <w:rFonts w:ascii="David" w:eastAsia="Calibri" w:hAnsi="David"/>
          <w:rtl/>
        </w:rPr>
        <w:t xml:space="preserve">נמצא, כי לא </w:t>
      </w:r>
      <w:r>
        <w:rPr>
          <w:rFonts w:ascii="David" w:eastAsia="Calibri" w:hAnsi="David" w:hint="cs"/>
          <w:rtl/>
        </w:rPr>
        <w:t>זו בלבד</w:t>
      </w:r>
      <w:r w:rsidR="00A42EAF">
        <w:rPr>
          <w:rFonts w:ascii="David" w:eastAsia="Calibri" w:hAnsi="David"/>
          <w:rtl/>
        </w:rPr>
        <w:t xml:space="preserve"> שאין בצוואה הוראה מפורשת ו</w:t>
      </w:r>
      <w:r>
        <w:rPr>
          <w:rFonts w:ascii="David" w:eastAsia="Calibri" w:hAnsi="David" w:hint="cs"/>
          <w:rtl/>
        </w:rPr>
        <w:t xml:space="preserve">/או </w:t>
      </w:r>
      <w:r w:rsidR="00A42EAF">
        <w:rPr>
          <w:rFonts w:ascii="David" w:eastAsia="Calibri" w:hAnsi="David"/>
          <w:rtl/>
        </w:rPr>
        <w:t>לשון ברורה המגבילה את כוחה של הנתבעת 1 לנהוג בנכסי העזבון מנהג בעלים, אף לא ניתן להסיק כוונה זו מלשון הצוואה ו/או מהעדויות שהובאו לפני, כפי שפורט לעיל.</w:t>
      </w:r>
    </w:p>
    <w:p w:rsidR="00A42EAF" w:rsidRDefault="00A42EAF" w:rsidP="00A42EAF">
      <w:pPr>
        <w:pStyle w:val="ad"/>
        <w:spacing w:line="360" w:lineRule="auto"/>
        <w:ind w:left="785"/>
        <w:rPr>
          <w:rFonts w:ascii="David" w:eastAsia="Calibri" w:hAnsi="David"/>
        </w:rPr>
      </w:pPr>
    </w:p>
    <w:p w:rsidR="00A42EAF" w:rsidRDefault="00A42EAF" w:rsidP="00B1227B">
      <w:pPr>
        <w:pStyle w:val="ad"/>
        <w:numPr>
          <w:ilvl w:val="0"/>
          <w:numId w:val="1"/>
        </w:numPr>
        <w:spacing w:line="360" w:lineRule="auto"/>
        <w:jc w:val="both"/>
        <w:rPr>
          <w:rFonts w:ascii="David" w:eastAsia="Calibri" w:hAnsi="David"/>
          <w:rtl/>
        </w:rPr>
      </w:pPr>
      <w:r>
        <w:rPr>
          <w:rFonts w:ascii="David" w:eastAsia="Calibri" w:hAnsi="David"/>
          <w:rtl/>
        </w:rPr>
        <w:t>לכך יש להוסיף את סוגיית זכויותיה של הנתבעת 1 בנכסיו של המנוח מכח "הלכת השיתוף", וזאת בשים לב כי המדובר בבני זוג אשר נישאו טרם תחולתו של חוק יחסי ממון בין בני זוג.</w:t>
      </w:r>
    </w:p>
    <w:p w:rsidR="00A42EAF" w:rsidRDefault="00A42EAF" w:rsidP="00B1227B">
      <w:pPr>
        <w:pStyle w:val="ad"/>
        <w:spacing w:line="360" w:lineRule="auto"/>
        <w:ind w:left="785"/>
        <w:jc w:val="both"/>
        <w:rPr>
          <w:rFonts w:ascii="David" w:eastAsia="Calibri" w:hAnsi="David"/>
        </w:rPr>
      </w:pPr>
      <w:r>
        <w:rPr>
          <w:rFonts w:ascii="David" w:eastAsia="Calibri" w:hAnsi="David"/>
          <w:rtl/>
        </w:rPr>
        <w:t xml:space="preserve">על כן, פרשנות זו של הצוואה אף מתיישבת עם זכויותיה של הנתבעת 1 במחצית מנכסי העזבון ועם העקרון שהעבירות של נכסים אלו, עפ"י הוראות ס' 34 ו-37 לחוק המקרקעין, הינה תכונת יסוד של זכות הבעלות והגבלתה עשויה לנגוד את תקנת הציבור </w:t>
      </w:r>
    </w:p>
    <w:p w:rsidR="00A42EAF" w:rsidRDefault="00A42EAF" w:rsidP="00B1227B">
      <w:pPr>
        <w:pStyle w:val="ad"/>
        <w:spacing w:line="360" w:lineRule="auto"/>
        <w:ind w:left="785"/>
        <w:jc w:val="both"/>
        <w:rPr>
          <w:rFonts w:ascii="David" w:eastAsia="Calibri" w:hAnsi="David"/>
          <w:b/>
          <w:bCs/>
          <w:rtl/>
        </w:rPr>
      </w:pPr>
      <w:r>
        <w:rPr>
          <w:rFonts w:ascii="David" w:eastAsia="Calibri" w:hAnsi="David"/>
          <w:rtl/>
        </w:rPr>
        <w:t xml:space="preserve">(ר': </w:t>
      </w:r>
      <w:r>
        <w:rPr>
          <w:rFonts w:ascii="David" w:eastAsia="Calibri" w:hAnsi="David"/>
          <w:b/>
          <w:bCs/>
          <w:rtl/>
        </w:rPr>
        <w:t>כב' השופטת גאולה לוין ת"ע( ב"ש) 1491/07</w:t>
      </w:r>
      <w:r>
        <w:rPr>
          <w:rFonts w:ascii="David" w:eastAsia="Calibri" w:hAnsi="David"/>
          <w:rtl/>
        </w:rPr>
        <w:t xml:space="preserve"> והאסמכתאות המובאות שם- </w:t>
      </w:r>
      <w:r>
        <w:rPr>
          <w:rFonts w:ascii="David" w:eastAsia="Calibri" w:hAnsi="David"/>
          <w:b/>
          <w:bCs/>
          <w:rtl/>
        </w:rPr>
        <w:t>יהושוע וייסמן, דיני קניין - בעלות ושיתוף (תשנ"ז) בעמ' 76 ו-96; ע"א (חיפה) 798/89 טבנצ'יק נ' טבנצ'יק, תש"ן(1) 518).</w:t>
      </w:r>
    </w:p>
    <w:p w:rsidR="00A42EAF" w:rsidRDefault="00A42EAF" w:rsidP="00A42EAF">
      <w:pPr>
        <w:pStyle w:val="ad"/>
        <w:spacing w:line="360" w:lineRule="auto"/>
        <w:ind w:left="785"/>
        <w:rPr>
          <w:rFonts w:ascii="David" w:eastAsia="Calibri" w:hAnsi="David"/>
          <w:b/>
          <w:bCs/>
          <w:rtl/>
        </w:rPr>
      </w:pPr>
    </w:p>
    <w:p w:rsidR="00A42EAF" w:rsidRDefault="00A42EAF" w:rsidP="00A42EAF">
      <w:pPr>
        <w:spacing w:line="360" w:lineRule="auto"/>
        <w:rPr>
          <w:rFonts w:ascii="David" w:eastAsia="Calibri" w:hAnsi="David"/>
          <w:b/>
          <w:bCs/>
        </w:rPr>
      </w:pPr>
      <w:r>
        <w:rPr>
          <w:rFonts w:ascii="David" w:eastAsia="Calibri" w:hAnsi="David"/>
          <w:b/>
          <w:bCs/>
          <w:rtl/>
        </w:rPr>
        <w:t>סיכומו של דבר:</w:t>
      </w:r>
    </w:p>
    <w:p w:rsidR="00A42EAF" w:rsidRDefault="00A42EAF" w:rsidP="00A42EAF">
      <w:pPr>
        <w:spacing w:line="360" w:lineRule="auto"/>
        <w:rPr>
          <w:rFonts w:ascii="David" w:eastAsia="Calibri" w:hAnsi="David"/>
          <w:b/>
          <w:bCs/>
          <w:rtl/>
        </w:rPr>
      </w:pPr>
    </w:p>
    <w:p w:rsidR="00A42EAF" w:rsidRDefault="00A42EAF" w:rsidP="00A42EAF">
      <w:pPr>
        <w:pStyle w:val="ad"/>
        <w:numPr>
          <w:ilvl w:val="0"/>
          <w:numId w:val="1"/>
        </w:numPr>
        <w:spacing w:line="360" w:lineRule="auto"/>
        <w:rPr>
          <w:rFonts w:ascii="David" w:eastAsia="Calibri" w:hAnsi="David"/>
          <w:b/>
          <w:bCs/>
        </w:rPr>
      </w:pPr>
      <w:r>
        <w:rPr>
          <w:rFonts w:ascii="David" w:eastAsia="Calibri" w:hAnsi="David"/>
          <w:b/>
          <w:bCs/>
          <w:rtl/>
        </w:rPr>
        <w:t>לאור האמור לעיל, התביעה נדחית.</w:t>
      </w:r>
    </w:p>
    <w:p w:rsidR="00BB284F" w:rsidRDefault="00BB284F" w:rsidP="00BB284F">
      <w:pPr>
        <w:pStyle w:val="ad"/>
        <w:spacing w:line="360" w:lineRule="auto"/>
        <w:ind w:left="785"/>
        <w:rPr>
          <w:rFonts w:ascii="David" w:eastAsia="Calibri" w:hAnsi="David"/>
          <w:b/>
          <w:bCs/>
          <w:rtl/>
        </w:rPr>
      </w:pPr>
    </w:p>
    <w:p w:rsidR="00A42EAF" w:rsidRDefault="00A42EAF" w:rsidP="00A42EAF">
      <w:pPr>
        <w:pStyle w:val="ad"/>
        <w:numPr>
          <w:ilvl w:val="0"/>
          <w:numId w:val="1"/>
        </w:numPr>
        <w:spacing w:line="360" w:lineRule="auto"/>
        <w:rPr>
          <w:rFonts w:ascii="David" w:eastAsia="Calibri" w:hAnsi="David"/>
          <w:b/>
          <w:bCs/>
        </w:rPr>
      </w:pPr>
      <w:r>
        <w:rPr>
          <w:rFonts w:ascii="David" w:eastAsia="Calibri" w:hAnsi="David"/>
          <w:b/>
          <w:bCs/>
          <w:rtl/>
        </w:rPr>
        <w:t xml:space="preserve">התובעים יישאו </w:t>
      </w:r>
      <w:r w:rsidR="003D6F0D">
        <w:rPr>
          <w:rFonts w:ascii="David" w:eastAsia="Calibri" w:hAnsi="David"/>
          <w:b/>
          <w:bCs/>
          <w:rtl/>
        </w:rPr>
        <w:t>בהוצאות הנתבעים בסך של 70,000 ₪</w:t>
      </w:r>
      <w:r w:rsidR="003D6F0D">
        <w:rPr>
          <w:rFonts w:ascii="David" w:eastAsia="Calibri" w:hAnsi="David" w:hint="cs"/>
          <w:b/>
          <w:bCs/>
          <w:rtl/>
        </w:rPr>
        <w:t>, אשר ישולמו בתוך 30 ימים מהיום.</w:t>
      </w:r>
    </w:p>
    <w:p w:rsidR="002914D6" w:rsidRPr="00BB284F" w:rsidRDefault="002914D6">
      <w:pPr>
        <w:spacing w:line="360" w:lineRule="auto"/>
        <w:jc w:val="both"/>
        <w:rPr>
          <w:rFonts w:ascii="Arial" w:hAnsi="Arial"/>
          <w:noProof w:val="0"/>
          <w:rtl/>
        </w:rPr>
      </w:pPr>
    </w:p>
    <w:p w:rsidR="00A42EAF" w:rsidRDefault="00A42EAF">
      <w:pPr>
        <w:spacing w:line="360" w:lineRule="auto"/>
        <w:jc w:val="both"/>
        <w:rPr>
          <w:rFonts w:ascii="David" w:hAnsi="David"/>
          <w:noProof w:val="0"/>
          <w:rtl/>
        </w:rPr>
      </w:pPr>
    </w:p>
    <w:p w:rsidR="00BB284F" w:rsidRDefault="00BB284F">
      <w:pPr>
        <w:spacing w:line="360" w:lineRule="auto"/>
        <w:jc w:val="both"/>
        <w:rPr>
          <w:rFonts w:ascii="David" w:hAnsi="David"/>
          <w:noProof w:val="0"/>
          <w:rtl/>
        </w:rPr>
      </w:pPr>
    </w:p>
    <w:p w:rsidR="00BB284F" w:rsidRDefault="00BB284F">
      <w:pPr>
        <w:spacing w:line="360" w:lineRule="auto"/>
        <w:jc w:val="both"/>
        <w:rPr>
          <w:rFonts w:ascii="David" w:hAnsi="David"/>
          <w:noProof w:val="0"/>
          <w:rtl/>
        </w:rPr>
      </w:pPr>
    </w:p>
    <w:p w:rsidR="00BB284F" w:rsidRDefault="00BB284F">
      <w:pPr>
        <w:spacing w:line="360" w:lineRule="auto"/>
        <w:jc w:val="both"/>
        <w:rPr>
          <w:rFonts w:ascii="David" w:hAnsi="David"/>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כ"ד סיוון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30 יוני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D4761D">
      <w:pPr>
        <w:spacing w:line="360" w:lineRule="auto"/>
        <w:ind w:left="3600" w:firstLine="720"/>
        <w:jc w:val="both"/>
      </w:pPr>
      <w:sdt>
        <w:sdtPr>
          <w:rPr>
            <w:rtl/>
          </w:rPr>
          <w:alias w:val="MergeField"/>
          <w:tag w:val="1237"/>
          <w:id w:val="970708007"/>
        </w:sdtPr>
        <w:sdtEndPr/>
        <w:sdtContent>
          <w:r w:rsidR="001823A5">
            <w:drawing>
              <wp:inline distT="0" distB="0" distL="0" distR="0" wp14:editId="50D07946">
                <wp:extent cx="140970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409700" cy="8509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761D" w:rsidRDefault="00D4761D">
      <w:r>
        <w:separator/>
      </w:r>
    </w:p>
  </w:endnote>
  <w:endnote w:type="continuationSeparator" w:id="0">
    <w:p w:rsidR="00D4761D" w:rsidRDefault="00D47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D30" w:rsidRDefault="005D7D3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5D7D30">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5D7D30">
      <w:rPr>
        <w:rStyle w:val="ab"/>
        <w:rtl/>
      </w:rPr>
      <w:t>13</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D30" w:rsidRDefault="005D7D3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761D" w:rsidRDefault="00D4761D">
      <w:r>
        <w:separator/>
      </w:r>
    </w:p>
  </w:footnote>
  <w:footnote w:type="continuationSeparator" w:id="0">
    <w:p w:rsidR="00D4761D" w:rsidRDefault="00D47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D30" w:rsidRDefault="005D7D3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D4761D" w:rsidP="00B1227B">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תמ"ש</w:t>
              </w:r>
            </w:sdtContent>
          </w:sdt>
          <w:r w:rsidR="00011212">
            <w:rPr>
              <w:b/>
              <w:bCs/>
              <w:noProof w:val="0"/>
              <w:sz w:val="26"/>
              <w:szCs w:val="26"/>
              <w:rtl/>
            </w:rPr>
            <w:t xml:space="preserve"> </w:t>
          </w:r>
          <w:bookmarkStart w:id="0" w:name="_GoBack"/>
          <w:sdt>
            <w:sdtPr>
              <w:rPr>
                <w:rtl/>
              </w:rPr>
              <w:alias w:val="1171"/>
              <w:tag w:val="1171"/>
              <w:id w:val="1025217868"/>
              <w:text w:multiLine="1"/>
            </w:sdtPr>
            <w:sdtEndPr/>
            <w:sdtContent>
              <w:r w:rsidR="00BD18F5">
                <w:rPr>
                  <w:b/>
                  <w:bCs/>
                  <w:noProof w:val="0"/>
                  <w:sz w:val="26"/>
                  <w:szCs w:val="26"/>
                  <w:rtl/>
                </w:rPr>
                <w:t>23070-04-22</w:t>
              </w:r>
            </w:sdtContent>
          </w:sdt>
          <w:bookmarkEnd w:id="0"/>
          <w:r w:rsidR="00011212">
            <w:rPr>
              <w:b/>
              <w:bCs/>
              <w:noProof w:val="0"/>
              <w:sz w:val="26"/>
              <w:szCs w:val="26"/>
              <w:rtl/>
            </w:rPr>
            <w:t xml:space="preserve"> </w:t>
          </w:r>
          <w:sdt>
            <w:sdtPr>
              <w:rPr>
                <w:rtl/>
              </w:rPr>
              <w:alias w:val="1172"/>
              <w:tag w:val="1172"/>
              <w:id w:val="-673653942"/>
              <w:showingPlcHdr/>
              <w:text w:multiLine="1"/>
            </w:sdtPr>
            <w:sdtEndPr/>
            <w:sdtContent>
              <w:r w:rsidR="00B1227B">
                <w:rPr>
                  <w:rtl/>
                </w:rPr>
                <w:t xml:space="preserve">     </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D30" w:rsidRDefault="005D7D3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7456D8"/>
    <w:multiLevelType w:val="hybridMultilevel"/>
    <w:tmpl w:val="90104048"/>
    <w:lvl w:ilvl="0" w:tplc="AAB2FAA8">
      <w:start w:val="1"/>
      <w:numFmt w:val="hebrew1"/>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 w15:restartNumberingAfterBreak="0">
    <w:nsid w:val="734867EA"/>
    <w:multiLevelType w:val="hybridMultilevel"/>
    <w:tmpl w:val="F09C4CD8"/>
    <w:lvl w:ilvl="0" w:tplc="538EDFCA">
      <w:start w:val="1"/>
      <w:numFmt w:val="decimal"/>
      <w:lvlText w:val="%1."/>
      <w:lvlJc w:val="left"/>
      <w:pPr>
        <w:ind w:left="785"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20120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201209&amp;lt;/CaseID&amp;gt;_x000d__x000a_        &amp;lt;CaseMonth&amp;gt;4&amp;lt;/CaseMonth&amp;gt;_x000d__x000a_        &amp;lt;CaseYear&amp;gt;2022&amp;lt;/CaseYear&amp;gt;_x000d__x000a_        &amp;lt;CaseNumber&amp;gt;23070&amp;lt;/CaseNumber&amp;gt;_x000d__x000a_        &amp;lt;NumeratorGroupID&amp;gt;1&amp;lt;/NumeratorGroupID&amp;gt;_x000d__x000a_        &amp;lt;CaseName&amp;gt;כרים ואח&amp;#39; נ&amp;#39; כרים ואח&amp;#39;&amp;lt;/CaseName&amp;gt;_x000d__x000a_        &amp;lt;CourtID&amp;gt;33&amp;lt;/CourtID&amp;gt;_x000d__x000a_        &amp;lt;CaseTypeID&amp;gt;15&amp;lt;/CaseTypeID&amp;gt;_x000d__x000a_        &amp;lt;CaseInterestID&amp;gt;158&amp;lt;/CaseInterestID&amp;gt;_x000d__x000a_        &amp;lt;CaseJudgeName&amp;gt;ציפי כהן אביטן&amp;lt;/CaseJudgeName&amp;gt;_x000d__x000a_        &amp;lt;CaseLinkTypeID&amp;gt;7&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23070-04-22&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04-12T08:56: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ציפי&amp;lt;/CaseJudgeFirstName&amp;gt;_x000d__x000a_        &amp;lt;CaseJudgeLastName&amp;gt;כהן אביטן&amp;lt;/CaseJudgeLastName&amp;gt;_x000d__x000a_        &amp;lt;JudicalPersonID&amp;gt;025402884@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איושר על פטור ניכוי מס ע&amp;quot;ש המומחה יעקב אילן לקפיש, נסרק לתיק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201209&amp;lt;/CaseID&amp;gt;_x000d__x000a_        &amp;lt;CaseMonth&amp;gt;4&amp;lt;/CaseMonth&amp;gt;_x000d__x000a_        &amp;lt;CaseYear&amp;gt;2022&amp;lt;/CaseYear&amp;gt;_x000d__x000a_        &amp;lt;CaseNumber&amp;gt;23070&amp;lt;/CaseNumber&amp;gt;_x000d__x000a_        &amp;lt;NumeratorGroupID&amp;gt;1&amp;lt;/NumeratorGroupID&amp;gt;_x000d__x000a_        &amp;lt;CaseName&amp;gt;כרים ואח&amp;#39; נ&amp;#39; כרים ואח&amp;#39;&amp;lt;/CaseName&amp;gt;_x000d__x000a_        &amp;lt;CourtID&amp;gt;33&amp;lt;/CourtID&amp;gt;_x000d__x000a_        &amp;lt;CaseTypeID&amp;gt;15&amp;lt;/CaseTypeID&amp;gt;_x000d__x000a_        &amp;lt;CaseInterestID&amp;gt;158&amp;lt;/CaseInterestID&amp;gt;_x000d__x000a_        &amp;lt;CaseJudgeName&amp;gt;ציפי כהן אביטן&amp;lt;/CaseJudgeName&amp;gt;_x000d__x000a_        &amp;lt;CaseLinkTypeID&amp;gt;7&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23070-04-22&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CaseNextDeterminingTask&amp;gt;34&amp;lt;/CaseNextDeterminingTask&amp;gt;_x000d__x000a_        &amp;lt;CaseOpenDate&amp;gt;2022-04-12T08:56: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ציפי&amp;lt;/CaseJudgeFirstName&amp;gt;_x000d__x000a_        &amp;lt;CaseJudgeLastName&amp;gt;כהן אביטן&amp;lt;/CaseJudgeLastName&amp;gt;_x000d__x000a_        &amp;lt;JudicalPersonID&amp;gt;025402884@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איושר על פטור ניכוי מס ע&amp;quot;ש המומחה יעקב אילן לקפיש, נסרק לתיק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521180&amp;lt;/DecisionID&amp;gt;_x000d__x000a_        &amp;lt;DecisionName&amp;gt;פסק דין  שניתנה ע&amp;quot;י  ציפי כהן אביטן&amp;lt;/DecisionName&amp;gt;_x000d__x000a_        &amp;lt;DecisionStatusID&amp;gt;1&amp;lt;/DecisionStatusID&amp;gt;_x000d__x000a_        &amp;lt;DecisionStatusChangeDate&amp;gt;2024-06-28T19:20:44.597+03:00&amp;lt;/DecisionStatusChangeDate&amp;gt;_x000d__x000a_        &amp;lt;DecisionSignatureDate&amp;gt;2024-06-28T19:14:08.577+03:00&amp;lt;/DecisionSignatureDate&amp;gt;_x000d__x000a_        &amp;lt;DecisionSignatureUserID&amp;gt;025402884@GOV.IL&amp;lt;/DecisionSignatureUserID&amp;gt;_x000d__x000a_        &amp;lt;DecisionCreateDate&amp;gt;2024-06-28T19:19:24.25+03:00&amp;lt;/DecisionCreateDate&amp;gt;_x000d__x000a_        &amp;lt;DecisionChangeDate&amp;gt;2024-06-28T19:20:44.69+03:00&amp;lt;/DecisionChangeDate&amp;gt;_x000d__x000a_        &amp;lt;DecisionChangeUserID&amp;gt;02540288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718734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40288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402884@GOV.IL&amp;lt;/DecisionCreationUserID&amp;gt;_x000d__x000a_        &amp;lt;DecisionDisplayName&amp;gt;פסק דין  שניתנה ע&amp;quot;י  ציפי כהן אביטן&amp;lt;/DecisionDisplayName&amp;gt;_x000d__x000a_        &amp;lt;IsScanned&amp;gt;false&amp;lt;/IsScanned&amp;gt;_x000d__x000a_        &amp;lt;DecisionSignatureUserName&amp;gt;ציפי כהן אביט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7&amp;lt;/DecisionNumberInCase&amp;gt;_x000d__x000a_      &amp;lt;/dt_Decision&amp;gt;_x000d__x000a_      &amp;lt;dt_DecisionCase diffgr:id=&amp;quot;dt_DecisionCase1&amp;quot; msdata:rowOrder=&amp;quot;0&amp;quot;&amp;gt;_x000d__x000a_        &amp;lt;DecisionID&amp;gt;152521180&amp;lt;/DecisionID&amp;gt;_x000d__x000a_        &amp;lt;CaseID&amp;gt;79201209&amp;lt;/CaseID&amp;gt;_x000d__x000a_        &amp;lt;IsOriginal&amp;gt;true&amp;lt;/IsOriginal&amp;gt;_x000d__x000a_        &amp;lt;IsDeleted&amp;gt;false&amp;lt;/IsDeleted&amp;gt;_x000d__x000a_        &amp;lt;CaseName&amp;gt;כרים ואח&amp;#39; נ&amp;#39; כרים ואח&amp;#39;&amp;lt;/CaseName&amp;gt;_x000d__x000a_        &amp;lt;CaseDisplayIdentifier&amp;gt;23070-04-22 תמ&amp;quot;ש&amp;lt;/CaseDisplayIdentifier&amp;gt;_x000d__x000a_      &amp;lt;/dt_DecisionCase&amp;gt;_x000d__x000a_    &amp;lt;/DecisionDS&amp;gt;_x000d__x000a_  &amp;lt;/diffgr:diffgram&amp;gt;_x000d__x000a_&amp;lt;/DecisionDS&amp;gt;"/>
    <w:docVar w:name="DecisionID" w:val="152521180"/>
    <w:docVar w:name="WordClientAssemblyName" w:val="NGCS.Decision.ClientWordBL"/>
    <w:docVar w:name="WordClientClassName" w:val="NGCS.Decision.ClientWordBL.DecisionClient"/>
  </w:docVars>
  <w:rsids>
    <w:rsidRoot w:val="002914D6"/>
    <w:rsid w:val="00011212"/>
    <w:rsid w:val="001823A5"/>
    <w:rsid w:val="00265648"/>
    <w:rsid w:val="002914D6"/>
    <w:rsid w:val="002F5307"/>
    <w:rsid w:val="00323407"/>
    <w:rsid w:val="003772CD"/>
    <w:rsid w:val="003D6F0D"/>
    <w:rsid w:val="00401B57"/>
    <w:rsid w:val="00420D96"/>
    <w:rsid w:val="00426EEE"/>
    <w:rsid w:val="005D7D30"/>
    <w:rsid w:val="006210A5"/>
    <w:rsid w:val="00666802"/>
    <w:rsid w:val="006C4051"/>
    <w:rsid w:val="007C1077"/>
    <w:rsid w:val="007C6BD7"/>
    <w:rsid w:val="00822AA5"/>
    <w:rsid w:val="0091072C"/>
    <w:rsid w:val="009108D7"/>
    <w:rsid w:val="00A42EAF"/>
    <w:rsid w:val="00B1227B"/>
    <w:rsid w:val="00BB284F"/>
    <w:rsid w:val="00BD18F5"/>
    <w:rsid w:val="00BD5B6B"/>
    <w:rsid w:val="00C40239"/>
    <w:rsid w:val="00C931BD"/>
    <w:rsid w:val="00D358FE"/>
    <w:rsid w:val="00D4761D"/>
    <w:rsid w:val="00D54B3A"/>
    <w:rsid w:val="00D76A87"/>
    <w:rsid w:val="00E62CFE"/>
    <w:rsid w:val="00E9298F"/>
    <w:rsid w:val="00F237C1"/>
    <w:rsid w:val="00F50E07"/>
    <w:rsid w:val="00F706EB"/>
    <w:rsid w:val="00FC3D4E"/>
    <w:rsid w:val="00FD20C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E38CFD2-0459-4D94-99A1-DAFDE9C97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D76A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25406">
      <w:bodyDiv w:val="1"/>
      <w:marLeft w:val="0"/>
      <w:marRight w:val="0"/>
      <w:marTop w:val="0"/>
      <w:marBottom w:val="0"/>
      <w:divBdr>
        <w:top w:val="none" w:sz="0" w:space="0" w:color="auto"/>
        <w:left w:val="none" w:sz="0" w:space="0" w:color="auto"/>
        <w:bottom w:val="none" w:sz="0" w:space="0" w:color="auto"/>
        <w:right w:val="none" w:sz="0" w:space="0" w:color="auto"/>
      </w:divBdr>
    </w:div>
    <w:div w:id="65256089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9A39D1" w:rsidRDefault="00A32E59" w:rsidP="00A32E59">
          <w:pPr>
            <w:pStyle w:val="31A55F6979184A8EB6F607B634EEB644"/>
          </w:pPr>
          <w:r>
            <w:rPr>
              <w:rStyle w:val="a3"/>
              <w:rtl/>
            </w:rPr>
            <w:t>תאור קבוצת שייכות צד א</w:t>
          </w:r>
        </w:p>
      </w:docPartBody>
    </w:docPart>
    <w:docPart>
      <w:docPartPr>
        <w:name w:val="FA8313722632438DBA3F8DDF6CE94B00"/>
        <w:category>
          <w:name w:val="כללי"/>
          <w:gallery w:val="placeholder"/>
        </w:category>
        <w:types>
          <w:type w:val="bbPlcHdr"/>
        </w:types>
        <w:behaviors>
          <w:behavior w:val="content"/>
        </w:behaviors>
        <w:guid w:val="{CDE72612-E48C-45DF-ABD7-35820D8C571D}"/>
      </w:docPartPr>
      <w:docPartBody>
        <w:p w:rsidR="009A39D1" w:rsidRDefault="00A32E59" w:rsidP="00A32E59">
          <w:pPr>
            <w:pStyle w:val="FA8313722632438DBA3F8DDF6CE94B00"/>
          </w:pPr>
          <w:r>
            <w:rPr>
              <w:rStyle w:val="a3"/>
              <w:rtl/>
            </w:rPr>
            <w:t>מספר מעמד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6D467C"/>
    <w:rsid w:val="00763208"/>
    <w:rsid w:val="009A39D1"/>
    <w:rsid w:val="00A32E59"/>
    <w:rsid w:val="00E2623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79201209</CaseID>
    <CaseJudicialPersonPresentationDS>
      <CaseJudicalPersonActive>
        <CaseID>79201209</CaseID>
        <JudicialPersonID>025402884@GOV.IL</JudicialPersonID>
        <JudicialPersonTypeID>1</JudicialPersonTypeID>
        <JudicialTypeID>1</JudicialTypeID>
        <IsChairman>false</IsChairman>
        <TreatmentStartDate>2022-05-15T09:05:06.513+03:00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אילן יעקב לקפיש</FullName>
        <FirstName>אילן יעקב</FirstName>
        <LastName>לקפיש</LastName>
        <PartyPropertyName/>
        <AuthenticationTypeAndNumber>ת"ז 023002710</AuthenticationTypeAndNumber>
        <RepresentatedOrRepresentativesNames/>
        <RepresentatedOrRepresentativesCount>0</RepresentatedOrRepresentativesCount>
        <InvitedBy/>
        <CaseID>79201209</CaseID>
        <CaseJudicialPersonPresentationDS>
          <CaseJudicalPersonActive>
            <CaseID>79201209</CaseID>
            <JudicialPersonID>025402884@GOV.IL</JudicialPersonID>
            <JudicialPersonTypeID>1</JudicialPersonTypeID>
            <JudicialTypeID>1</JudicialTypeID>
            <IsChairman>false</IsChairman>
            <TreatmentStartDate>2022-05-15T09:05:06.513+03:00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250721981</CasePartyID>
        <PartyTypeID>4</PartyTypeID>
        <ActivityStatusID>1</ActivityStatusID>
        <PartyAliasID>101</PartyAliasID>
        <PartyAliasName>עד בית משפט</PartyAliasName>
        <LegalEntityID>16581341</LegalEntityID>
        <CaseLegalEntityID>122810837</CaseLegalEntityID>
        <AuthenticationTypeID>1</AuthenticationTypeID>
        <AuthenticationTypeName>ת"ז</AuthenticationTypeName>
        <LegalEntityNumber>023002710</LegalEntityNumber>
        <IsMainPartyType>true</IsMainPartyType>
        <CaseDisplayIdentifier>23070-04-22</CaseDisplayIdentifier>
        <CaseTypeID>15</CaseTypeID>
        <CaseTypeName>תיק משפחה (תמ"ש)</CaseTypeName>
        <CaseName>כרים ואח' נ' כרים ואח'</CaseName>
        <FullAddress>אלי לנדאו 50 הרצלייה </FullAddress>
        <MotionID>0</MotionID>
        <CasePleaID>0</CasePleaID>
        <FatherName>חיים</FatherName>
        <LinkedCaseID>0</LinkedCaseID>
        <CasePartyCategoryID>1</CasePartyCategoryID>
        <LegalEntityAddressID>87442562</LegalEntityAddressID>
        <GrandfatherName/>
        <DrivingLicenseNumber>4039238</DrivingLicenseNumber>
        <PleaTypeID>4</PleaTypeID>
        <GroupPartyAlias/>
        <IsConverted>false</IsConverted>
        <LegalEntityRegisteredNameID>2162713</LegalEntityRegisteredNameID>
        <LegalEntityNameID>94274714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אילן יעקב לקפיש</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יובל עציוני</FullName>
        <FirstName>יובל</FirstName>
        <LastName>עציוני</LastName>
        <PartyPropertyName/>
        <AuthenticationTypeAndNumber>מ.ר. 16450</AuthenticationTypeAndNumber>
        <RepresentatedOrRepresentativesNames>כרים  שלמה  את עזרא בעמ</RepresentatedOrRepresentativesNames>
        <RepresentatedOrRepresentativesCount>1</RepresentatedOrRepresentativesCount>
        <InvitedBy/>
        <CaseID>79201209</CaseID>
        <CaseJudicialPersonPresentationDS>
          <CaseJudicalPersonActive>
            <CaseID>79201209</CaseID>
            <JudicialPersonID>025402884@GOV.IL</JudicialPersonID>
            <JudicialPersonTypeID>1</JudicialPersonTypeID>
            <JudicialTypeID>1</JudicialTypeID>
            <IsChairman>false</IsChairman>
            <TreatmentStartDate>2022-05-15T09:05:06.513+03:00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245304545</CasePartyID>
        <PartyTypeID>2</PartyTypeID>
        <ActivityStatusID>1</ActivityStatusID>
        <PartyAliasID>23</PartyAliasID>
        <PartyAliasName>בא כוח משיבים</PartyAliasName>
        <LegalEntityID>383111</LegalEntityID>
        <CaseLegalEntityID>121141378</CaseLegalEntityID>
        <AuthenticationTypeID>4</AuthenticationTypeID>
        <AuthenticationTypeName>מ.ר.</AuthenticationTypeName>
        <LegalEntityNumber>16450</LegalEntityNumber>
        <IsMainPartyType>true</IsMainPartyType>
        <CaseDisplayIdentifier>23070-04-22</CaseDisplayIdentifier>
        <CaseTypeID>15</CaseTypeID>
        <CaseTypeName>תיק משפחה (תמ"ש)</CaseTypeName>
        <CaseName>כרים ואח' נ' כרים ואח'</CaseName>
        <FullAddress>מנחם בגין 11 רמת גן </FullAddress>
        <EmailAddress>etzionilawoffice@gmail.com</EmailAddress>
        <MotionID>0</MotionID>
        <CasePleaID>0</CasePleaID>
        <FatherName xml:space="preserve">        </FatherName>
        <LinkedCaseID>0</LinkedCaseID>
        <CasePartyCategoryID>2</CasePartyCategoryID>
        <LegalEntityAddressID>45782976</LegalEntityAddressID>
        <LegalEntityEmailAddressID>67910686</LegalEntityEmailAddressID>
        <PleaTypeID>4</PleaTypeID>
        <LawyerOfficeName>משרד עו"ד: עציוני, פסי ושות'</LawyerOfficeName>
        <LawyerOfficeID>423755</LawyerOfficeID>
        <GroupPartyAlias/>
        <IsConverted>false</IsConverted>
        <LegalEntityNameID>4095</LegalEntityNameID>
        <RepresentatedNamesOfAssistant/>
        <LegalEntityTypeID>4</LegalEntityTypeID>
        <IsVerdictExists>false</IsVerdictExists>
        <IsAsirAzir>false</IsAsirAzir>
        <IsPublicationProhibited>false</IsPublicationProhibited>
        <PublicationProhibitedFullName>יובל עציוני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משה זאב בן-דורי</FullName>
        <FirstName>משה זאב</FirstName>
        <LastName>בן-דורי</LastName>
        <PartyPropertyName/>
        <AuthenticationTypeAndNumber>מ.ר. 27403</AuthenticationTypeAndNumber>
        <RepresentatedOrRepresentativesNames>כוכבית בקו, משה כרים</RepresentatedOrRepresentativesNames>
        <RepresentatedOrRepresentativesCount>2</RepresentatedOrRepresentativesCount>
        <InvitedBy/>
        <CaseID>79201209</CaseID>
        <CaseJudicialPersonPresentationDS>
          <CaseJudicalPersonActive>
            <CaseID>79201209</CaseID>
            <JudicialPersonID>025402884@GOV.IL</JudicialPersonID>
            <JudicialPersonTypeID>1</JudicialPersonTypeID>
            <JudicialTypeID>1</JudicialTypeID>
            <IsChairman>false</IsChairman>
            <TreatmentStartDate>2022-05-15T09:05:06.513+03:00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239869885</CasePartyID>
        <PartyTypeID>2</PartyTypeID>
        <ActivityStatusID>1</ActivityStatusID>
        <PartyAliasID>20</PartyAliasID>
        <PartyAliasName>בא כוח תובעים</PartyAliasName>
        <LegalEntityID>383746</LegalEntityID>
        <CaseLegalEntityID>119414964</CaseLegalEntityID>
        <AuthenticationTypeID>4</AuthenticationTypeID>
        <AuthenticationTypeName>מ.ר.</AuthenticationTypeName>
        <LegalEntityNumber>27403</LegalEntityNumber>
        <IsMainPartyType>true</IsMainPartyType>
        <CaseDisplayIdentifier>23070-04-22</CaseDisplayIdentifier>
        <CaseTypeID>15</CaseTypeID>
        <CaseTypeName>תיק משפחה (תמ"ש)</CaseTypeName>
        <CaseName>כרים ואח' נ' כרים ואח'</CaseName>
        <FullAddress>שד' בן גוריון 73 תל אביב -יפו </FullAddress>
        <EmailAddress>BEN0110160@GMAIL.COM</EmailAddress>
        <MotionID>0</MotionID>
        <CasePleaID>0</CasePleaID>
        <FatherName xml:space="preserve">        </FatherName>
        <LinkedCaseID>0</LinkedCaseID>
        <PartyID>1</PartyID>
        <CasePartyCategoryID>2</CasePartyCategoryID>
        <LegalEntityAddressID>86579129</LegalEntityAddressID>
        <LegalEntityEmailAddressID>67993210</LegalEntityEmailAddressID>
        <PleaTypeID>4</PleaTypeID>
        <LawyerOfficeName>משרד עו"ד: משה זאב בן-דורי</LawyerOfficeName>
        <LawyerOfficeID>424390</LawyerOfficeID>
        <GroupPartyAlias/>
        <IsConverted>false</IsConverted>
        <LegalEntityNameID>4730</LegalEntityNameID>
        <RepresentatedNamesOfAssistant/>
        <LegalEntityTypeID>4</LegalEntityTypeID>
        <IsVerdictExists>false</IsVerdictExists>
        <IsAsirAzir>false</IsAsirAzir>
        <IsPublicationProhibited>false</IsPublicationProhibited>
        <PublicationProhibitedFullName>משה זאב בן-דורי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זהר פשה אלון</FullName>
        <FirstName>זהר</FirstName>
        <LastName>פשה אלון</LastName>
        <PartyPropertyName/>
        <AuthenticationTypeAndNumber>מ.ר. 33501</AuthenticationTypeAndNumber>
        <RepresentatedOrRepresentativesNames>כוכבית בקו, משה כרים</RepresentatedOrRepresentativesNames>
        <RepresentatedOrRepresentativesCount>2</RepresentatedOrRepresentativesCount>
        <InvitedBy/>
        <CaseID>79201209</CaseID>
        <CaseJudicialPersonPresentationDS>
          <CaseJudicalPersonActive>
            <CaseID>79201209</CaseID>
            <JudicialPersonID>025402884@GOV.IL</JudicialPersonID>
            <JudicialPersonTypeID>1</JudicialPersonTypeID>
            <JudicialTypeID>1</JudicialTypeID>
            <IsChairman>false</IsChairman>
            <TreatmentStartDate>2022-05-15T09:05:06.513+03:00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239864512</CasePartyID>
        <PartyTypeID>2</PartyTypeID>
        <ActivityStatusID>1</ActivityStatusID>
        <PartyAliasID>20</PartyAliasID>
        <PartyAliasName>בא כוח תובעים</PartyAliasName>
        <LegalEntityID>412300</LegalEntityID>
        <CaseLegalEntityID>119412124</CaseLegalEntityID>
        <AuthenticationTypeID>4</AuthenticationTypeID>
        <AuthenticationTypeName>מ.ר.</AuthenticationTypeName>
        <LegalEntityNumber>33501</LegalEntityNumber>
        <IsMainPartyType>true</IsMainPartyType>
        <CaseDisplayIdentifier>23070-04-22</CaseDisplayIdentifier>
        <CaseTypeID>15</CaseTypeID>
        <CaseTypeName>תיק משפחה (תמ"ש)</CaseTypeName>
        <CaseName>כרים ואח' נ' כרים ואח'</CaseName>
        <FullAddress>יעקב חזן 11 תל אביב -יפו </FullAddress>
        <MotionID>0</MotionID>
        <CasePleaID>0</CasePleaID>
        <FatherName xml:space="preserve">        </FatherName>
        <LinkedCaseID>0</LinkedCaseID>
        <PartyID>1</PartyID>
        <CasePartyCategoryID>2</CasePartyCategoryID>
        <LegalEntityAddressID>76987341</LegalEntityAddressID>
        <PleaTypeID>4</PleaTypeID>
        <GroupPartyAlias/>
        <IsConverted>false</IsConverted>
        <LegalEntityNameID>33284</LegalEntityNameID>
        <RepresentatedNamesOfAssistant/>
        <LegalEntityTypeID>4</LegalEntityTypeID>
        <IsVerdictExists>false</IsVerdictExists>
        <IsAsirAzir>false</IsAsirAzir>
        <IsPublicationProhibited>false</IsPublicationProhibited>
        <PublicationProhibitedFullName>זהר פשה אלון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ליהיא דמבינסקי-כהן</FullName>
        <FirstName>ליהיא</FirstName>
        <LastName>דמבינסקי-כהן</LastName>
        <PartyPropertyName/>
        <AuthenticationTypeAndNumber>מ.ר. 19445</AuthenticationTypeAndNumber>
        <RepresentatedOrRepresentativesNames>מלי גלר, לאה כהן, ברוך כרים, שרה כרים, רחל תמרי</RepresentatedOrRepresentativesNames>
        <RepresentatedOrRepresentativesCount>5</RepresentatedOrRepresentativesCount>
        <InvitedBy/>
        <CaseID>79201209</CaseID>
        <CaseJudicialPersonPresentationDS>
          <CaseJudicalPersonActive>
            <CaseID>79201209</CaseID>
            <JudicialPersonID>025402884@GOV.IL</JudicialPersonID>
            <JudicialPersonTypeID>1</JudicialPersonTypeID>
            <JudicialTypeID>1</JudicialTypeID>
            <IsChairman>false</IsChairman>
            <TreatmentStartDate>2022-05-15T09:05:06.513+03:00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240004379</CasePartyID>
        <PartyTypeID>2</PartyTypeID>
        <ActivityStatusID>1</ActivityStatusID>
        <PartyAliasID>21</PartyAliasID>
        <PartyAliasName>בא כוח נתבעים</PartyAliasName>
        <LegalEntityID>398426</LegalEntityID>
        <CaseLegalEntityID>119453732</CaseLegalEntityID>
        <AuthenticationTypeID>4</AuthenticationTypeID>
        <AuthenticationTypeName>מ.ר.</AuthenticationTypeName>
        <LegalEntityNumber>19445</LegalEntityNumber>
        <IsMainPartyType>true</IsMainPartyType>
        <CaseDisplayIdentifier>23070-04-22</CaseDisplayIdentifier>
        <CaseTypeID>15</CaseTypeID>
        <CaseTypeName>תיק משפחה (תמ"ש)</CaseTypeName>
        <CaseName>כרים ואח' נ' כרים ואח'</CaseName>
        <FullAddress>השלושה 2 תל אביב -יפו קומה 16</FullAddress>
        <EmailAddress>lihic@firon.co.il</EmailAddress>
        <MotionID>0</MotionID>
        <CasePleaID>0</CasePleaID>
        <FatherName xml:space="preserve">        </FatherName>
        <LinkedCaseID>0</LinkedCaseID>
        <PartyID>2</PartyID>
        <CasePartyCategoryID>2</CasePartyCategoryID>
        <LegalEntityAddressID>85764301</LegalEntityAddressID>
        <LegalEntityEmailAddressID>68147067</LegalEntityEmailAddressID>
        <PleaTypeID>4</PleaTypeID>
        <LawyerOfficeName>משרד עו"ד: ליהיא דמבינסקי-כהן</LawyerOfficeName>
        <LawyerOfficeID>439070</LawyerOfficeID>
        <GroupPartyAlias/>
        <IsConverted>false</IsConverted>
        <LegalEntityNameID>19410</LegalEntityNameID>
        <RepresentatedNamesOfAssistant/>
        <LegalEntityTypeID>4</LegalEntityTypeID>
        <IsVerdictExists>false</IsVerdictExists>
        <IsAsirAzir>false</IsAsirAzir>
        <IsPublicationProhibited>false</IsPublicationProhibited>
        <PublicationProhibitedFullName>ליהיא דמבינסקי-כהן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משה כרים</FullName>
        <FirstName>משה</FirstName>
        <LastName>כרים</LastName>
        <PartyPropertyName/>
        <AuthenticationTypeAndNumber>ת"ז </AuthenticationTypeAndNumber>
        <RepresentatedOrRepresentativesNames>משה זאב בן-דורי, זהר פשה אלון</RepresentatedOrRepresentativesNames>
        <RepresentatedOrRepresentativesCount>2</RepresentatedOrRepresentativesCount>
        <InvitedBy/>
        <CaseID>79201209</CaseID>
        <CaseJudicialPersonPresentationDS>
          <CaseJudicalPersonActive>
            <CaseID>79201209</CaseID>
            <JudicialPersonID>025402884@GOV.IL</JudicialPersonID>
            <JudicialPersonTypeID>1</JudicialPersonTypeID>
            <JudicialTypeID>1</JudicialTypeID>
            <IsChairman>false</IsChairman>
            <TreatmentStartDate>2022-05-15T09:05:06.513+03:00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239860683</CasePartyID>
        <PartyTypeID>1</PartyTypeID>
        <ActivityStatusID>1</ActivityStatusID>
        <PartyAliasID>1</PartyAliasID>
        <PartyAliasName>תובע</PartyAliasName>
        <OrdinalNumber>1</OrdinalNumber>
        <LegalEntityID>80439279</LegalEntityID>
        <CaseLegalEntityID>119412123</CaseLegalEntityID>
        <AuthenticationTypeID>1</AuthenticationTypeID>
        <AuthenticationTypeName>ת"ז</AuthenticationTypeName>
        <IsMainPartyType>true</IsMainPartyType>
        <CaseDisplayIdentifier>23070-04-22</CaseDisplayIdentifier>
        <CaseTypeID>15</CaseTypeID>
        <CaseTypeName>תיק משפחה (תמ"ש)</CaseTypeName>
        <CaseName>כרים ואח' נ' כרים ואח'</CaseName>
        <FullAddress/>
        <MotionID>0</MotionID>
        <CasePleaID>0</CasePleaID>
        <LinkedCaseID>0</LinkedCaseID>
        <PartyID>1</PartyID>
        <CasePartyCategoryID>2</CasePartyCategoryID>
        <PleaTypeID>4</PleaTypeID>
        <GroupPartyAlias>תובעים</GroupPartyAlias>
        <IsConverted>false</IsConverted>
        <LegalEntityNameID>92972695</LegalEntityNameID>
        <RepresentatedNamesOfAssistant/>
        <LegalEntityTypeID>1</LegalEntityTypeID>
        <IsVerdictExists>false</IsVerdictExists>
        <IsAsirAzir>false</IsAsirAzir>
        <IsPublicationProhibited>false</IsPublicationProhibited>
        <PublicationProhibitedFullName>משה כרים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שרה כרים</FullName>
        <FirstName>שרה</FirstName>
        <LastName>כרים</LastName>
        <PartyPropertyName/>
        <AuthenticationTypeAndNumber>ת"ז 007604333</AuthenticationTypeAndNumber>
        <RepresentatedOrRepresentativesNames>ליהיא דמבינסקי-כהן</RepresentatedOrRepresentativesNames>
        <RepresentatedOrRepresentativesCount>1</RepresentatedOrRepresentativesCount>
        <InvitedBy/>
        <CaseID>79201209</CaseID>
        <CaseJudicialPersonPresentationDS>
          <CaseJudicalPersonActive>
            <CaseID>79201209</CaseID>
            <JudicialPersonID>025402884@GOV.IL</JudicialPersonID>
            <JudicialPersonTypeID>1</JudicialPersonTypeID>
            <JudicialTypeID>1</JudicialTypeID>
            <IsChairman>false</IsChairman>
            <TreatmentStartDate>2022-05-15T09:05:06.513+03:00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239860685</CasePartyID>
        <PartyTypeID>1</PartyTypeID>
        <ActivityStatusID>1</ActivityStatusID>
        <PartyAliasID>2</PartyAliasID>
        <PartyAliasName>נתבע</PartyAliasName>
        <OrdinalNumber>1</OrdinalNumber>
        <LegalEntityID>78405844</LegalEntityID>
        <CaseLegalEntityID>119412125</CaseLegalEntityID>
        <AuthenticationTypeID>1</AuthenticationTypeID>
        <AuthenticationTypeName>ת"ז</AuthenticationTypeName>
        <LegalEntityNumber>007604333</LegalEntityNumber>
        <IsMainPartyType>true</IsMainPartyType>
        <CaseDisplayIdentifier>23070-04-22</CaseDisplayIdentifier>
        <CaseTypeID>15</CaseTypeID>
        <CaseTypeName>תיק משפחה (תמ"ש)</CaseTypeName>
        <CaseName>כרים ואח' נ' כרים ואח'</CaseName>
        <FullAddress>ביאליק 115 רמת גן </FullAddress>
        <MotionID>0</MotionID>
        <CasePleaID>0</CasePleaID>
        <FatherName>ברוך</FatherName>
        <LinkedCaseID>0</LinkedCaseID>
        <PartyID>2</PartyID>
        <CasePartyCategoryID>2</CasePartyCategoryID>
        <LegalEntityAddressID>86403932</LegalEntityAddressID>
        <PleaTypeID>4</PleaTypeID>
        <GroupPartyAlias>נתבעים</GroupPartyAlias>
        <IsConverted>false</IsConverted>
        <LegalEntityRegisteredNameID>8805116</LegalEntityRegisteredNameID>
        <LegalEntityNameID>92972696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שרה כרים</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כוכבית בקו</FullName>
        <FirstName>כוכבית</FirstName>
        <LastName>בקו</LastName>
        <PartyPropertyName/>
        <AuthenticationTypeAndNumber>ת"ז </AuthenticationTypeAndNumber>
        <RepresentatedOrRepresentativesNames>משה זאב בן-דורי, זהר פשה אלון</RepresentatedOrRepresentativesNames>
        <RepresentatedOrRepresentativesCount>2</RepresentatedOrRepresentativesCount>
        <InvitedBy/>
        <CaseID>79201209</CaseID>
        <CaseJudicialPersonPresentationDS>
          <CaseJudicalPersonActive>
            <CaseID>79201209</CaseID>
            <JudicialPersonID>025402884@GOV.IL</JudicialPersonID>
            <JudicialPersonTypeID>1</JudicialPersonTypeID>
            <JudicialTypeID>1</JudicialTypeID>
            <IsChairman>false</IsChairman>
            <TreatmentStartDate>2022-05-15T09:05:06.513+03:00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239863753</CasePartyID>
        <PartyTypeID>1</PartyTypeID>
        <ActivityStatusID>1</ActivityStatusID>
        <PartyAliasID>1</PartyAliasID>
        <PartyAliasName>תובע</PartyAliasName>
        <OrdinalNumber>2</OrdinalNumber>
        <LegalEntityID>80439481</LegalEntityID>
        <CaseLegalEntityID>119413152</CaseLegalEntityID>
        <AuthenticationTypeID>1</AuthenticationTypeID>
        <AuthenticationTypeName>ת"ז</AuthenticationTypeName>
        <IsMainPartyType>true</IsMainPartyType>
        <CaseDisplayIdentifier>23070-04-22</CaseDisplayIdentifier>
        <CaseTypeID>15</CaseTypeID>
        <CaseTypeName>תיק משפחה (תמ"ש)</CaseTypeName>
        <CaseName>כרים ואח' נ' כרים ואח'</CaseName>
        <FullAddress/>
        <MotionID>0</MotionID>
        <CasePleaID>0</CasePleaID>
        <LinkedCaseID>0</LinkedCaseID>
        <PartyID>1</PartyID>
        <CasePartyCategoryID>2</CasePartyCategoryID>
        <PleaTypeID>4</PleaTypeID>
        <GroupPartyAlias>תובעים</GroupPartyAlias>
        <IsConverted>false</IsConverted>
        <LegalEntityNameID>92973143</LegalEntityNameID>
        <RepresentatedNamesOfAssistant/>
        <LegalEntityTypeID>1</LegalEntityTypeID>
        <IsVerdictExists>false</IsVerdictExists>
        <IsAsirAzir>false</IsAsirAzir>
        <IsPublicationProhibited>false</IsPublicationProhibited>
        <PublicationProhibitedFullName>כוכבית בקו</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לאה כהן</FullName>
        <FirstName>לאה</FirstName>
        <LastName>כהן</LastName>
        <PartyPropertyName/>
        <AuthenticationTypeAndNumber>ת"ז 059300897</AuthenticationTypeAndNumber>
        <RepresentatedOrRepresentativesNames>ליהיא דמבינסקי-כהן</RepresentatedOrRepresentativesNames>
        <RepresentatedOrRepresentativesCount>1</RepresentatedOrRepresentativesCount>
        <InvitedBy/>
        <CaseID>79201209</CaseID>
        <CaseJudicialPersonPresentationDS>
          <CaseJudicalPersonActive>
            <CaseID>79201209</CaseID>
            <JudicialPersonID>025402884@GOV.IL</JudicialPersonID>
            <JudicialPersonTypeID>1</JudicialPersonTypeID>
            <JudicialTypeID>1</JudicialTypeID>
            <IsChairman>false</IsChairman>
            <TreatmentStartDate>2022-05-15T09:05:06.513+03:00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239863867</CasePartyID>
        <PartyTypeID>1</PartyTypeID>
        <ActivityStatusID>1</ActivityStatusID>
        <PartyAliasID>2</PartyAliasID>
        <PartyAliasName>נתבע</PartyAliasName>
        <OrdinalNumber>2</OrdinalNumber>
        <LegalEntityID>76167582</LegalEntityID>
        <CaseLegalEntityID>119413206</CaseLegalEntityID>
        <AuthenticationTypeID>1</AuthenticationTypeID>
        <AuthenticationTypeName>ת"ז</AuthenticationTypeName>
        <LegalEntityNumber>059300897</LegalEntityNumber>
        <IsMainPartyType>true</IsMainPartyType>
        <CaseDisplayIdentifier>23070-04-22</CaseDisplayIdentifier>
        <CaseTypeID>15</CaseTypeID>
        <CaseTypeName>תיק משפחה (תמ"ש)</CaseTypeName>
        <CaseName>כרים ואח' נ' כרים ואח'</CaseName>
        <FullAddress>גלעד 11 רמת גן </FullAddress>
        <MotionID>0</MotionID>
        <CasePleaID>0</CasePleaID>
        <FatherName>שלמה</FatherName>
        <LinkedCaseID>0</LinkedCaseID>
        <PartyID>2</PartyID>
        <CasePartyCategoryID>2</CasePartyCategoryID>
        <LegalEntityAddressID>86404314</LegalEntityAddressID>
        <PleaTypeID>4</PleaTypeID>
        <GroupPartyAlias>נתבעים</GroupPartyAlias>
        <IsConverted>false</IsConverted>
        <LegalEntityRegisteredNameID>6164298</LegalEntityRegisteredNameID>
        <LegalEntityNameID>92973167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לאה כהן</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רחל תמרי</FullName>
        <FirstName>רחל</FirstName>
        <LastName>תמרי</LastName>
        <PartyPropertyName/>
        <AuthenticationTypeAndNumber>ת"ז 022452650</AuthenticationTypeAndNumber>
        <RepresentatedOrRepresentativesNames>ליהיא דמבינסקי-כהן</RepresentatedOrRepresentativesNames>
        <RepresentatedOrRepresentativesCount>1</RepresentatedOrRepresentativesCount>
        <InvitedBy/>
        <CaseID>79201209</CaseID>
        <CaseJudicialPersonPresentationDS>
          <CaseJudicalPersonActive>
            <CaseID>79201209</CaseID>
            <JudicialPersonID>025402884@GOV.IL</JudicialPersonID>
            <JudicialPersonTypeID>1</JudicialPersonTypeID>
            <JudicialTypeID>1</JudicialTypeID>
            <IsChairman>false</IsChairman>
            <TreatmentStartDate>2022-05-15T09:05:06.513+03:00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239863934</CasePartyID>
        <PartyTypeID>1</PartyTypeID>
        <ActivityStatusID>1</ActivityStatusID>
        <PartyAliasID>2</PartyAliasID>
        <PartyAliasName>נתבע</PartyAliasName>
        <OrdinalNumber>3</OrdinalNumber>
        <LegalEntityID>21977861</LegalEntityID>
        <CaseLegalEntityID>119413227</CaseLegalEntityID>
        <AuthenticationTypeID>1</AuthenticationTypeID>
        <AuthenticationTypeName>ת"ז</AuthenticationTypeName>
        <LegalEntityNumber>022452650</LegalEntityNumber>
        <IsMainPartyType>true</IsMainPartyType>
        <CaseDisplayIdentifier>23070-04-22</CaseDisplayIdentifier>
        <CaseTypeID>15</CaseTypeID>
        <CaseTypeName>תיק משפחה (תמ"ש)</CaseTypeName>
        <CaseName>כרים ואח' נ' כרים ואח'</CaseName>
        <FullAddress>תרע"ד 1 רמת גן </FullAddress>
        <MotionID>0</MotionID>
        <CasePleaID>0</CasePleaID>
        <BirthDate>1966-06-07T00:00:00+03:00</BirthDate>
        <FatherName>שלמה</FatherName>
        <LinkedCaseID>0</LinkedCaseID>
        <PartyID>2</PartyID>
        <CasePartyCategoryID>2</CasePartyCategoryID>
        <LegalEntityAddressID>86404320</LegalEntityAddressID>
        <PleaTypeID>4</PleaTypeID>
        <GroupPartyAlias>נתבעים</GroupPartyAlias>
        <IsConverted>false</IsConverted>
        <LegalEntityRegisteredNameID>1928220</LegalEntityRegisteredNameID>
        <LegalEntityNameID>92973174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רחל תמרי</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ברוך כרים</FullName>
        <FirstName>ברוך</FirstName>
        <LastName>כרים</LastName>
        <PartyPropertyName/>
        <AuthenticationTypeAndNumber>ת"ז 024568024</AuthenticationTypeAndNumber>
        <RepresentatedOrRepresentativesNames>ליהיא דמבינסקי-כהן</RepresentatedOrRepresentativesNames>
        <RepresentatedOrRepresentativesCount>1</RepresentatedOrRepresentativesCount>
        <InvitedBy/>
        <CaseID>79201209</CaseID>
        <CaseJudicialPersonPresentationDS>
          <CaseJudicalPersonActive>
            <CaseID>79201209</CaseID>
            <JudicialPersonID>025402884@GOV.IL</JudicialPersonID>
            <JudicialPersonTypeID>1</JudicialPersonTypeID>
            <JudicialTypeID>1</JudicialTypeID>
            <IsChairman>false</IsChairman>
            <TreatmentStartDate>2022-05-15T09:05:06.513+03:00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239863969</CasePartyID>
        <PartyTypeID>1</PartyTypeID>
        <ActivityStatusID>1</ActivityStatusID>
        <PartyAliasID>2</PartyAliasID>
        <PartyAliasName>נתבע</PartyAliasName>
        <OrdinalNumber>4</OrdinalNumber>
        <LegalEntityID>80439489</LegalEntityID>
        <CaseLegalEntityID>119413241</CaseLegalEntityID>
        <AuthenticationTypeID>1</AuthenticationTypeID>
        <AuthenticationTypeName>ת"ז</AuthenticationTypeName>
        <LegalEntityNumber>024568024</LegalEntityNumber>
        <IsMainPartyType>true</IsMainPartyType>
        <CaseDisplayIdentifier>23070-04-22</CaseDisplayIdentifier>
        <CaseTypeID>15</CaseTypeID>
        <CaseTypeName>תיק משפחה (תמ"ש)</CaseTypeName>
        <CaseName>כרים ואח' נ' כרים ואח'</CaseName>
        <FullAddress/>
        <MotionID>0</MotionID>
        <CasePleaID>0</CasePleaID>
        <FatherName>שלמה</FatherName>
        <LinkedCaseID>0</LinkedCaseID>
        <PartyID>2</PartyID>
        <CasePartyCategoryID>2</CasePartyCategoryID>
        <PleaTypeID>4</PleaTypeID>
        <GroupPartyAlias>נתבעים</GroupPartyAlias>
        <IsConverted>false</IsConverted>
        <LegalEntityRegisteredNameID>9886593</LegalEntityRegisteredNameID>
        <LegalEntityNameID>92973179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ברוך כרים</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מלי גלר</FullName>
        <FirstName>מלי</FirstName>
        <LastName>גלר</LastName>
        <PartyPropertyName/>
        <AuthenticationTypeAndNumber>ת"ז 031788524</AuthenticationTypeAndNumber>
        <RepresentatedOrRepresentativesNames>ליהיא דמבינסקי-כהן</RepresentatedOrRepresentativesNames>
        <RepresentatedOrRepresentativesCount>1</RepresentatedOrRepresentativesCount>
        <InvitedBy/>
        <CaseID>79201209</CaseID>
        <CaseJudicialPersonPresentationDS>
          <CaseJudicalPersonActive>
            <CaseID>79201209</CaseID>
            <JudicialPersonID>025402884@GOV.IL</JudicialPersonID>
            <JudicialPersonTypeID>1</JudicialPersonTypeID>
            <JudicialTypeID>1</JudicialTypeID>
            <IsChairman>false</IsChairman>
            <TreatmentStartDate>2022-05-15T09:05:06.513+03:00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239864033</CasePartyID>
        <PartyTypeID>1</PartyTypeID>
        <ActivityStatusID>1</ActivityStatusID>
        <PartyAliasID>2</PartyAliasID>
        <PartyAliasName>נתבע</PartyAliasName>
        <OrdinalNumber>5</OrdinalNumber>
        <LegalEntityID>71470870</LegalEntityID>
        <CaseLegalEntityID>119413270</CaseLegalEntityID>
        <AuthenticationTypeID>1</AuthenticationTypeID>
        <AuthenticationTypeName>ת"ז</AuthenticationTypeName>
        <LegalEntityNumber>031788524</LegalEntityNumber>
        <IsMainPartyType>true</IsMainPartyType>
        <CaseDisplayIdentifier>23070-04-22</CaseDisplayIdentifier>
        <CaseTypeID>15</CaseTypeID>
        <CaseTypeName>תיק משפחה (תמ"ש)</CaseTypeName>
        <CaseName>כרים ואח' נ' כרים ואח'</CaseName>
        <FullAddress>חורגין 34 רמת גן </FullAddress>
        <MotionID>0</MotionID>
        <CasePleaID>0</CasePleaID>
        <FatherName>שלמה</FatherName>
        <LinkedCaseID>0</LinkedCaseID>
        <PartyID>2</PartyID>
        <CasePartyCategoryID>2</CasePartyCategoryID>
        <LegalEntityAddressID>86404331</LegalEntityAddressID>
        <PleaTypeID>4</PleaTypeID>
        <GroupPartyAlias>נתבעים</GroupPartyAlias>
        <IsConverted>false</IsConverted>
        <LegalEntityRegisteredNameID>9886597</LegalEntityRegisteredNameID>
        <LegalEntityNameID>92973188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מלי גלר</PublicationProhibitedFullName>
      </CaseParties>
    </CasePartiesSelectionDS>
    <DecisionName>פסק דין  שניתנה ע"י  ציפי כהן אביטן</DecisionName>
    <CourtDisplayName>בית משפט לענייני משפחה בתל אביב -יפו</CourtDisplayName>
    <IsCaseJudgePanel>false</IsCaseJudgePanel>
    <DecisionSignatureDate>2024-06-28T19:14:08.5780447+03:00</DecisionSignatureDate>
    <OpenCaseDate>2022-04-12T08:56:00+03:00</OpenCaseDate>
    <CaseFeeSum>0.000</CaseFeeSum>
    <DecisionTypeID>2</DecisionTypeID>
    <DecisionSignatureUserName>ציפי כהן אביטן</DecisionSignatureUserName>
    <DecisionSignatureDateHebrew>2024-06-28T19:14:08.5780447+03:00</DecisionSignatureDateHebrew>
    <DecisionWriterID>025402884@GOV.IL</DecisionWriterID>
    <CourtAddress>רח' ויצמן 1, תל אביב -יפו 64239</CourtAddress>
    <IsAutoTextInCaseExist>false</IsAutoTextInCaseExist>
    <DecisionSignatureRoleName>שופט</DecisionSignatureRoleName>
    <DecisionSignatureUserTitleName>שופטת</DecisionSignatureUserTitleName>
    <CaseName>כרים ואח' נ' כרים ואח'</CaseName>
    <DecisionNumberInCase>17</DecisionNumberInCase>
  </dt_Decision>
  <dt_DecisionCase>
    <DecisionID>0</DecisionID>
    <CaseID>79201209</CaseID>
    <CaseJudicialPersonPresentationDS>
      <CaseJudicalPersonActive>
        <CaseID>79201209</CaseID>
        <JudicialPersonID>025402884@GOV.IL</JudicialPersonID>
        <JudicialPersonTypeID>1</JudicialPersonTypeID>
        <JudicialTypeID>1</JudicialTypeID>
        <IsChairman>false</IsChairman>
        <TreatmentStartDate>2022-05-15T09:05:06.513+03:00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אילן יעקב לקפיש</FullName>
        <FirstName>אילן יעקב</FirstName>
        <LastName>לקפיש</LastName>
        <PartyPropertyName/>
        <AuthenticationTypeAndNumber>ת"ז 023002710</AuthenticationTypeAndNumber>
        <RepresentatedOrRepresentativesNames/>
        <RepresentatedOrRepresentativesCount>0</RepresentatedOrRepresentativesCount>
        <InvitedBy/>
        <CaseID>79201209</CaseID>
        <CaseJudicialPersonPresentationDS>
          <CaseJudicalPersonActive>
            <CaseID>79201209</CaseID>
            <JudicialPersonID>025402884@GOV.IL</JudicialPersonID>
            <JudicialPersonTypeID>1</JudicialPersonTypeID>
            <JudicialTypeID>1</JudicialTypeID>
            <IsChairman>false</IsChairman>
            <TreatmentStartDate>2022-05-15T09:05:06.513+03:00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250721981</CasePartyID>
        <PartyTypeID>4</PartyTypeID>
        <ActivityStatusID>1</ActivityStatusID>
        <PartyAliasID>101</PartyAliasID>
        <PartyAliasName>עד בית משפט</PartyAliasName>
        <LegalEntityID>16581341</LegalEntityID>
        <CaseLegalEntityID>122810837</CaseLegalEntityID>
        <AuthenticationTypeID>1</AuthenticationTypeID>
        <AuthenticationTypeName>ת"ז</AuthenticationTypeName>
        <LegalEntityNumber>023002710</LegalEntityNumber>
        <IsMainPartyType>true</IsMainPartyType>
        <CaseDisplayIdentifier>23070-04-22</CaseDisplayIdentifier>
        <CaseTypeID>15</CaseTypeID>
        <CaseTypeName>תיק משפחה (תמ"ש)</CaseTypeName>
        <CaseName>כרים ואח' נ' כרים ואח'</CaseName>
        <FullAddress>אלי לנדאו 50 הרצלייה </FullAddress>
        <MotionID>0</MotionID>
        <CasePleaID>0</CasePleaID>
        <FatherName>חיים</FatherName>
        <LinkedCaseID>0</LinkedCaseID>
        <CasePartyCategoryID>1</CasePartyCategoryID>
        <LegalEntityAddressID>87442562</LegalEntityAddressID>
        <GrandfatherName/>
        <DrivingLicenseNumber>4039238</DrivingLicenseNumber>
        <PleaTypeID>4</PleaTypeID>
        <GroupPartyAlias/>
        <IsConverted>false</IsConverted>
        <LegalEntityRegisteredNameID>2162713</LegalEntityRegisteredNameID>
        <LegalEntityNameID>94274714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אילן יעקב לקפיש</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יובל עציוני</FullName>
        <FirstName>יובל</FirstName>
        <LastName>עציוני</LastName>
        <PartyPropertyName/>
        <AuthenticationTypeAndNumber>מ.ר. 16450</AuthenticationTypeAndNumber>
        <RepresentatedOrRepresentativesNames>כרים  שלמה  את עזרא בעמ</RepresentatedOrRepresentativesNames>
        <RepresentatedOrRepresentativesCount>1</RepresentatedOrRepresentativesCount>
        <InvitedBy/>
        <CaseID>79201209</CaseID>
        <CaseJudicialPersonPresentationDS>
          <CaseJudicalPersonActive>
            <CaseID>79201209</CaseID>
            <JudicialPersonID>025402884@GOV.IL</JudicialPersonID>
            <JudicialPersonTypeID>1</JudicialPersonTypeID>
            <JudicialTypeID>1</JudicialTypeID>
            <IsChairman>false</IsChairman>
            <TreatmentStartDate>2022-05-15T09:05:06.513+03:00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245304545</CasePartyID>
        <PartyTypeID>2</PartyTypeID>
        <ActivityStatusID>1</ActivityStatusID>
        <PartyAliasID>23</PartyAliasID>
        <PartyAliasName>בא כוח משיבים</PartyAliasName>
        <LegalEntityID>383111</LegalEntityID>
        <CaseLegalEntityID>121141378</CaseLegalEntityID>
        <AuthenticationTypeID>4</AuthenticationTypeID>
        <AuthenticationTypeName>מ.ר.</AuthenticationTypeName>
        <LegalEntityNumber>16450</LegalEntityNumber>
        <IsMainPartyType>true</IsMainPartyType>
        <CaseDisplayIdentifier>23070-04-22</CaseDisplayIdentifier>
        <CaseTypeID>15</CaseTypeID>
        <CaseTypeName>תיק משפחה (תמ"ש)</CaseTypeName>
        <CaseName>כרים ואח' נ' כרים ואח'</CaseName>
        <FullAddress>מנחם בגין 11 רמת גן </FullAddress>
        <EmailAddress>etzionilawoffice@gmail.com</EmailAddress>
        <MotionID>0</MotionID>
        <CasePleaID>0</CasePleaID>
        <FatherName xml:space="preserve">        </FatherName>
        <LinkedCaseID>0</LinkedCaseID>
        <CasePartyCategoryID>2</CasePartyCategoryID>
        <LegalEntityAddressID>45782976</LegalEntityAddressID>
        <LegalEntityEmailAddressID>67910686</LegalEntityEmailAddressID>
        <PleaTypeID>4</PleaTypeID>
        <LawyerOfficeName>משרד עו"ד: עציוני, פסי ושות'</LawyerOfficeName>
        <LawyerOfficeID>423755</LawyerOfficeID>
        <GroupPartyAlias/>
        <IsConverted>false</IsConverted>
        <LegalEntityNameID>4095</LegalEntityNameID>
        <RepresentatedNamesOfAssistant/>
        <LegalEntityTypeID>4</LegalEntityTypeID>
        <IsVerdictExists>false</IsVerdictExists>
        <IsAsirAzir>false</IsAsirAzir>
        <IsPublicationProhibited>false</IsPublicationProhibited>
        <PublicationProhibitedFullName>יובל עציוני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משה זאב בן-דורי</FullName>
        <FirstName>משה זאב</FirstName>
        <LastName>בן-דורי</LastName>
        <PartyPropertyName/>
        <AuthenticationTypeAndNumber>מ.ר. 27403</AuthenticationTypeAndNumber>
        <RepresentatedOrRepresentativesNames>כוכבית בקו, משה כרים</RepresentatedOrRepresentativesNames>
        <RepresentatedOrRepresentativesCount>2</RepresentatedOrRepresentativesCount>
        <InvitedBy/>
        <CaseID>79201209</CaseID>
        <CaseJudicialPersonPresentationDS>
          <CaseJudicalPersonActive>
            <CaseID>79201209</CaseID>
            <JudicialPersonID>025402884@GOV.IL</JudicialPersonID>
            <JudicialPersonTypeID>1</JudicialPersonTypeID>
            <JudicialTypeID>1</JudicialTypeID>
            <IsChairman>false</IsChairman>
            <TreatmentStartDate>2022-05-15T09:05:06.513+03:00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239869885</CasePartyID>
        <PartyTypeID>2</PartyTypeID>
        <ActivityStatusID>1</ActivityStatusID>
        <PartyAliasID>20</PartyAliasID>
        <PartyAliasName>בא כוח תובעים</PartyAliasName>
        <LegalEntityID>383746</LegalEntityID>
        <CaseLegalEntityID>119414964</CaseLegalEntityID>
        <AuthenticationTypeID>4</AuthenticationTypeID>
        <AuthenticationTypeName>מ.ר.</AuthenticationTypeName>
        <LegalEntityNumber>27403</LegalEntityNumber>
        <IsMainPartyType>true</IsMainPartyType>
        <CaseDisplayIdentifier>23070-04-22</CaseDisplayIdentifier>
        <CaseTypeID>15</CaseTypeID>
        <CaseTypeName>תיק משפחה (תמ"ש)</CaseTypeName>
        <CaseName>כרים ואח' נ' כרים ואח'</CaseName>
        <FullAddress>שד' בן גוריון 73 תל אביב -יפו </FullAddress>
        <EmailAddress>BEN0110160@GMAIL.COM</EmailAddress>
        <MotionID>0</MotionID>
        <CasePleaID>0</CasePleaID>
        <FatherName xml:space="preserve">        </FatherName>
        <LinkedCaseID>0</LinkedCaseID>
        <PartyID>1</PartyID>
        <CasePartyCategoryID>2</CasePartyCategoryID>
        <LegalEntityAddressID>86579129</LegalEntityAddressID>
        <LegalEntityEmailAddressID>67993210</LegalEntityEmailAddressID>
        <PleaTypeID>4</PleaTypeID>
        <LawyerOfficeName>משרד עו"ד: משה זאב בן-דורי</LawyerOfficeName>
        <LawyerOfficeID>424390</LawyerOfficeID>
        <GroupPartyAlias/>
        <IsConverted>false</IsConverted>
        <LegalEntityNameID>4730</LegalEntityNameID>
        <RepresentatedNamesOfAssistant/>
        <LegalEntityTypeID>4</LegalEntityTypeID>
        <IsVerdictExists>false</IsVerdictExists>
        <IsAsirAzir>false</IsAsirAzir>
        <IsPublicationProhibited>false</IsPublicationProhibited>
        <PublicationProhibitedFullName>משה זאב בן-דורי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זהר פשה אלון</FullName>
        <FirstName>זהר</FirstName>
        <LastName>פשה אלון</LastName>
        <PartyPropertyName/>
        <AuthenticationTypeAndNumber>מ.ר. 33501</AuthenticationTypeAndNumber>
        <RepresentatedOrRepresentativesNames>כוכבית בקו, משה כרים</RepresentatedOrRepresentativesNames>
        <RepresentatedOrRepresentativesCount>2</RepresentatedOrRepresentativesCount>
        <InvitedBy/>
        <CaseID>79201209</CaseID>
        <CaseJudicialPersonPresentationDS>
          <CaseJudicalPersonActive>
            <CaseID>79201209</CaseID>
            <JudicialPersonID>025402884@GOV.IL</JudicialPersonID>
            <JudicialPersonTypeID>1</JudicialPersonTypeID>
            <JudicialTypeID>1</JudicialTypeID>
            <IsChairman>false</IsChairman>
            <TreatmentStartDate>2022-05-15T09:05:06.513+03:00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239864512</CasePartyID>
        <PartyTypeID>2</PartyTypeID>
        <ActivityStatusID>1</ActivityStatusID>
        <PartyAliasID>20</PartyAliasID>
        <PartyAliasName>בא כוח תובעים</PartyAliasName>
        <LegalEntityID>412300</LegalEntityID>
        <CaseLegalEntityID>119412124</CaseLegalEntityID>
        <AuthenticationTypeID>4</AuthenticationTypeID>
        <AuthenticationTypeName>מ.ר.</AuthenticationTypeName>
        <LegalEntityNumber>33501</LegalEntityNumber>
        <IsMainPartyType>true</IsMainPartyType>
        <CaseDisplayIdentifier>23070-04-22</CaseDisplayIdentifier>
        <CaseTypeID>15</CaseTypeID>
        <CaseTypeName>תיק משפחה (תמ"ש)</CaseTypeName>
        <CaseName>כרים ואח' נ' כרים ואח'</CaseName>
        <FullAddress>יעקב חזן 11 תל אביב -יפו </FullAddress>
        <MotionID>0</MotionID>
        <CasePleaID>0</CasePleaID>
        <FatherName xml:space="preserve">        </FatherName>
        <LinkedCaseID>0</LinkedCaseID>
        <PartyID>1</PartyID>
        <CasePartyCategoryID>2</CasePartyCategoryID>
        <LegalEntityAddressID>76987341</LegalEntityAddressID>
        <PleaTypeID>4</PleaTypeID>
        <GroupPartyAlias/>
        <IsConverted>false</IsConverted>
        <LegalEntityNameID>33284</LegalEntityNameID>
        <RepresentatedNamesOfAssistant/>
        <LegalEntityTypeID>4</LegalEntityTypeID>
        <IsVerdictExists>false</IsVerdictExists>
        <IsAsirAzir>false</IsAsirAzir>
        <IsPublicationProhibited>false</IsPublicationProhibited>
        <PublicationProhibitedFullName>זהר פשה אלון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ליהיא דמבינסקי-כהן</FullName>
        <FirstName>ליהיא</FirstName>
        <LastName>דמבינסקי-כהן</LastName>
        <PartyPropertyName/>
        <AuthenticationTypeAndNumber>מ.ר. 19445</AuthenticationTypeAndNumber>
        <RepresentatedOrRepresentativesNames>מלי גלר, לאה כהן, ברוך כרים, שרה כרים, רחל תמרי</RepresentatedOrRepresentativesNames>
        <RepresentatedOrRepresentativesCount>5</RepresentatedOrRepresentativesCount>
        <InvitedBy/>
        <CaseID>79201209</CaseID>
        <CaseJudicialPersonPresentationDS>
          <CaseJudicalPersonActive>
            <CaseID>79201209</CaseID>
            <JudicialPersonID>025402884@GOV.IL</JudicialPersonID>
            <JudicialPersonTypeID>1</JudicialPersonTypeID>
            <JudicialTypeID>1</JudicialTypeID>
            <IsChairman>false</IsChairman>
            <TreatmentStartDate>2022-05-15T09:05:06.513+03:00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240004379</CasePartyID>
        <PartyTypeID>2</PartyTypeID>
        <ActivityStatusID>1</ActivityStatusID>
        <PartyAliasID>21</PartyAliasID>
        <PartyAliasName>בא כוח נתבעים</PartyAliasName>
        <LegalEntityID>398426</LegalEntityID>
        <CaseLegalEntityID>119453732</CaseLegalEntityID>
        <AuthenticationTypeID>4</AuthenticationTypeID>
        <AuthenticationTypeName>מ.ר.</AuthenticationTypeName>
        <LegalEntityNumber>19445</LegalEntityNumber>
        <IsMainPartyType>true</IsMainPartyType>
        <CaseDisplayIdentifier>23070-04-22</CaseDisplayIdentifier>
        <CaseTypeID>15</CaseTypeID>
        <CaseTypeName>תיק משפחה (תמ"ש)</CaseTypeName>
        <CaseName>כרים ואח' נ' כרים ואח'</CaseName>
        <FullAddress>השלושה 2 תל אביב -יפו קומה 16</FullAddress>
        <EmailAddress>lihic@firon.co.il</EmailAddress>
        <MotionID>0</MotionID>
        <CasePleaID>0</CasePleaID>
        <FatherName xml:space="preserve">        </FatherName>
        <LinkedCaseID>0</LinkedCaseID>
        <PartyID>2</PartyID>
        <CasePartyCategoryID>2</CasePartyCategoryID>
        <LegalEntityAddressID>85764301</LegalEntityAddressID>
        <LegalEntityEmailAddressID>68147067</LegalEntityEmailAddressID>
        <PleaTypeID>4</PleaTypeID>
        <LawyerOfficeName>משרד עו"ד: ליהיא דמבינסקי-כהן</LawyerOfficeName>
        <LawyerOfficeID>439070</LawyerOfficeID>
        <GroupPartyAlias/>
        <IsConverted>false</IsConverted>
        <LegalEntityNameID>19410</LegalEntityNameID>
        <RepresentatedNamesOfAssistant/>
        <LegalEntityTypeID>4</LegalEntityTypeID>
        <IsVerdictExists>false</IsVerdictExists>
        <IsAsirAzir>false</IsAsirAzir>
        <IsPublicationProhibited>false</IsPublicationProhibited>
        <PublicationProhibitedFullName>ליהיא דמבינסקי-כהן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משה כרים</FullName>
        <FirstName>משה</FirstName>
        <LastName>כרים</LastName>
        <PartyPropertyName/>
        <AuthenticationTypeAndNumber>ת"ז </AuthenticationTypeAndNumber>
        <RepresentatedOrRepresentativesNames>משה זאב בן-דורי, זהר פשה אלון</RepresentatedOrRepresentativesNames>
        <RepresentatedOrRepresentativesCount>2</RepresentatedOrRepresentativesCount>
        <InvitedBy/>
        <CaseID>79201209</CaseID>
        <CaseJudicialPersonPresentationDS>
          <CaseJudicalPersonActive>
            <CaseID>79201209</CaseID>
            <JudicialPersonID>025402884@GOV.IL</JudicialPersonID>
            <JudicialPersonTypeID>1</JudicialPersonTypeID>
            <JudicialTypeID>1</JudicialTypeID>
            <IsChairman>false</IsChairman>
            <TreatmentStartDate>2022-05-15T09:05:06.513+03:00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239860683</CasePartyID>
        <PartyTypeID>1</PartyTypeID>
        <ActivityStatusID>1</ActivityStatusID>
        <PartyAliasID>1</PartyAliasID>
        <PartyAliasName>תובע</PartyAliasName>
        <OrdinalNumber>1</OrdinalNumber>
        <LegalEntityID>80439279</LegalEntityID>
        <CaseLegalEntityID>119412123</CaseLegalEntityID>
        <AuthenticationTypeID>1</AuthenticationTypeID>
        <AuthenticationTypeName>ת"ז</AuthenticationTypeName>
        <IsMainPartyType>true</IsMainPartyType>
        <CaseDisplayIdentifier>23070-04-22</CaseDisplayIdentifier>
        <CaseTypeID>15</CaseTypeID>
        <CaseTypeName>תיק משפחה (תמ"ש)</CaseTypeName>
        <CaseName>כרים ואח' נ' כרים ואח'</CaseName>
        <FullAddress/>
        <MotionID>0</MotionID>
        <CasePleaID>0</CasePleaID>
        <LinkedCaseID>0</LinkedCaseID>
        <PartyID>1</PartyID>
        <CasePartyCategoryID>2</CasePartyCategoryID>
        <PleaTypeID>4</PleaTypeID>
        <GroupPartyAlias>תובעים</GroupPartyAlias>
        <IsConverted>false</IsConverted>
        <LegalEntityNameID>92972695</LegalEntityNameID>
        <RepresentatedNamesOfAssistant/>
        <LegalEntityTypeID>1</LegalEntityTypeID>
        <IsVerdictExists>false</IsVerdictExists>
        <IsAsirAzir>false</IsAsirAzir>
        <IsPublicationProhibited>false</IsPublicationProhibited>
        <PublicationProhibitedFullName>משה כרים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שרה כרים</FullName>
        <FirstName>שרה</FirstName>
        <LastName>כרים</LastName>
        <PartyPropertyName/>
        <AuthenticationTypeAndNumber>ת"ז 007604333</AuthenticationTypeAndNumber>
        <RepresentatedOrRepresentativesNames>ליהיא דמבינסקי-כהן</RepresentatedOrRepresentativesNames>
        <RepresentatedOrRepresentativesCount>1</RepresentatedOrRepresentativesCount>
        <InvitedBy/>
        <CaseID>79201209</CaseID>
        <CaseJudicialPersonPresentationDS>
          <CaseJudicalPersonActive>
            <CaseID>79201209</CaseID>
            <JudicialPersonID>025402884@GOV.IL</JudicialPersonID>
            <JudicialPersonTypeID>1</JudicialPersonTypeID>
            <JudicialTypeID>1</JudicialTypeID>
            <IsChairman>false</IsChairman>
            <TreatmentStartDate>2022-05-15T09:05:06.513+03:00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239860685</CasePartyID>
        <PartyTypeID>1</PartyTypeID>
        <ActivityStatusID>1</ActivityStatusID>
        <PartyAliasID>2</PartyAliasID>
        <PartyAliasName>נתבע</PartyAliasName>
        <OrdinalNumber>1</OrdinalNumber>
        <LegalEntityID>78405844</LegalEntityID>
        <CaseLegalEntityID>119412125</CaseLegalEntityID>
        <AuthenticationTypeID>1</AuthenticationTypeID>
        <AuthenticationTypeName>ת"ז</AuthenticationTypeName>
        <LegalEntityNumber>007604333</LegalEntityNumber>
        <IsMainPartyType>true</IsMainPartyType>
        <CaseDisplayIdentifier>23070-04-22</CaseDisplayIdentifier>
        <CaseTypeID>15</CaseTypeID>
        <CaseTypeName>תיק משפחה (תמ"ש)</CaseTypeName>
        <CaseName>כרים ואח' נ' כרים ואח'</CaseName>
        <FullAddress>ביאליק 115 רמת גן </FullAddress>
        <MotionID>0</MotionID>
        <CasePleaID>0</CasePleaID>
        <FatherName>ברוך</FatherName>
        <LinkedCaseID>0</LinkedCaseID>
        <PartyID>2</PartyID>
        <CasePartyCategoryID>2</CasePartyCategoryID>
        <LegalEntityAddressID>86403932</LegalEntityAddressID>
        <PleaTypeID>4</PleaTypeID>
        <GroupPartyAlias>נתבעים</GroupPartyAlias>
        <IsConverted>false</IsConverted>
        <LegalEntityRegisteredNameID>8805116</LegalEntityRegisteredNameID>
        <LegalEntityNameID>92972696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שרה כרים</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כוכבית בקו</FullName>
        <FirstName>כוכבית</FirstName>
        <LastName>בקו</LastName>
        <PartyPropertyName/>
        <AuthenticationTypeAndNumber>ת"ז </AuthenticationTypeAndNumber>
        <RepresentatedOrRepresentativesNames>משה זאב בן-דורי, זהר פשה אלון</RepresentatedOrRepresentativesNames>
        <RepresentatedOrRepresentativesCount>2</RepresentatedOrRepresentativesCount>
        <InvitedBy/>
        <CaseID>79201209</CaseID>
        <CaseJudicialPersonPresentationDS>
          <CaseJudicalPersonActive>
            <CaseID>79201209</CaseID>
            <JudicialPersonID>025402884@GOV.IL</JudicialPersonID>
            <JudicialPersonTypeID>1</JudicialPersonTypeID>
            <JudicialTypeID>1</JudicialTypeID>
            <IsChairman>false</IsChairman>
            <TreatmentStartDate>2022-05-15T09:05:06.513+03:00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239863753</CasePartyID>
        <PartyTypeID>1</PartyTypeID>
        <ActivityStatusID>1</ActivityStatusID>
        <PartyAliasID>1</PartyAliasID>
        <PartyAliasName>תובע</PartyAliasName>
        <OrdinalNumber>2</OrdinalNumber>
        <LegalEntityID>80439481</LegalEntityID>
        <CaseLegalEntityID>119413152</CaseLegalEntityID>
        <AuthenticationTypeID>1</AuthenticationTypeID>
        <AuthenticationTypeName>ת"ז</AuthenticationTypeName>
        <IsMainPartyType>true</IsMainPartyType>
        <CaseDisplayIdentifier>23070-04-22</CaseDisplayIdentifier>
        <CaseTypeID>15</CaseTypeID>
        <CaseTypeName>תיק משפחה (תמ"ש)</CaseTypeName>
        <CaseName>כרים ואח' נ' כרים ואח'</CaseName>
        <FullAddress/>
        <MotionID>0</MotionID>
        <CasePleaID>0</CasePleaID>
        <LinkedCaseID>0</LinkedCaseID>
        <PartyID>1</PartyID>
        <CasePartyCategoryID>2</CasePartyCategoryID>
        <PleaTypeID>4</PleaTypeID>
        <GroupPartyAlias>תובעים</GroupPartyAlias>
        <IsConverted>false</IsConverted>
        <LegalEntityNameID>92973143</LegalEntityNameID>
        <RepresentatedNamesOfAssistant/>
        <LegalEntityTypeID>1</LegalEntityTypeID>
        <IsVerdictExists>false</IsVerdictExists>
        <IsAsirAzir>false</IsAsirAzir>
        <IsPublicationProhibited>false</IsPublicationProhibited>
        <PublicationProhibitedFullName>כוכבית בקו</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לאה כהן</FullName>
        <FirstName>לאה</FirstName>
        <LastName>כהן</LastName>
        <PartyPropertyName/>
        <AuthenticationTypeAndNumber>ת"ז 059300897</AuthenticationTypeAndNumber>
        <RepresentatedOrRepresentativesNames>ליהיא דמבינסקי-כהן</RepresentatedOrRepresentativesNames>
        <RepresentatedOrRepresentativesCount>1</RepresentatedOrRepresentativesCount>
        <InvitedBy/>
        <CaseID>79201209</CaseID>
        <CaseJudicialPersonPresentationDS>
          <CaseJudicalPersonActive>
            <CaseID>79201209</CaseID>
            <JudicialPersonID>025402884@GOV.IL</JudicialPersonID>
            <JudicialPersonTypeID>1</JudicialPersonTypeID>
            <JudicialTypeID>1</JudicialTypeID>
            <IsChairman>false</IsChairman>
            <TreatmentStartDate>2022-05-15T09:05:06.513+03:00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239863867</CasePartyID>
        <PartyTypeID>1</PartyTypeID>
        <ActivityStatusID>1</ActivityStatusID>
        <PartyAliasID>2</PartyAliasID>
        <PartyAliasName>נתבע</PartyAliasName>
        <OrdinalNumber>2</OrdinalNumber>
        <LegalEntityID>76167582</LegalEntityID>
        <CaseLegalEntityID>119413206</CaseLegalEntityID>
        <AuthenticationTypeID>1</AuthenticationTypeID>
        <AuthenticationTypeName>ת"ז</AuthenticationTypeName>
        <LegalEntityNumber>059300897</LegalEntityNumber>
        <IsMainPartyType>true</IsMainPartyType>
        <CaseDisplayIdentifier>23070-04-22</CaseDisplayIdentifier>
        <CaseTypeID>15</CaseTypeID>
        <CaseTypeName>תיק משפחה (תמ"ש)</CaseTypeName>
        <CaseName>כרים ואח' נ' כרים ואח'</CaseName>
        <FullAddress>גלעד 11 רמת גן </FullAddress>
        <MotionID>0</MotionID>
        <CasePleaID>0</CasePleaID>
        <FatherName>שלמה</FatherName>
        <LinkedCaseID>0</LinkedCaseID>
        <PartyID>2</PartyID>
        <CasePartyCategoryID>2</CasePartyCategoryID>
        <LegalEntityAddressID>86404314</LegalEntityAddressID>
        <PleaTypeID>4</PleaTypeID>
        <GroupPartyAlias>נתבעים</GroupPartyAlias>
        <IsConverted>false</IsConverted>
        <LegalEntityRegisteredNameID>6164298</LegalEntityRegisteredNameID>
        <LegalEntityNameID>92973167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לאה כהן</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רחל תמרי</FullName>
        <FirstName>רחל</FirstName>
        <LastName>תמרי</LastName>
        <PartyPropertyName/>
        <AuthenticationTypeAndNumber>ת"ז 022452650</AuthenticationTypeAndNumber>
        <RepresentatedOrRepresentativesNames>ליהיא דמבינסקי-כהן</RepresentatedOrRepresentativesNames>
        <RepresentatedOrRepresentativesCount>1</RepresentatedOrRepresentativesCount>
        <InvitedBy/>
        <CaseID>79201209</CaseID>
        <CaseJudicialPersonPresentationDS>
          <CaseJudicalPersonActive>
            <CaseID>79201209</CaseID>
            <JudicialPersonID>025402884@GOV.IL</JudicialPersonID>
            <JudicialPersonTypeID>1</JudicialPersonTypeID>
            <JudicialTypeID>1</JudicialTypeID>
            <IsChairman>false</IsChairman>
            <TreatmentStartDate>2022-05-15T09:05:06.513+03:00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239863934</CasePartyID>
        <PartyTypeID>1</PartyTypeID>
        <ActivityStatusID>1</ActivityStatusID>
        <PartyAliasID>2</PartyAliasID>
        <PartyAliasName>נתבע</PartyAliasName>
        <OrdinalNumber>3</OrdinalNumber>
        <LegalEntityID>21977861</LegalEntityID>
        <CaseLegalEntityID>119413227</CaseLegalEntityID>
        <AuthenticationTypeID>1</AuthenticationTypeID>
        <AuthenticationTypeName>ת"ז</AuthenticationTypeName>
        <LegalEntityNumber>022452650</LegalEntityNumber>
        <IsMainPartyType>true</IsMainPartyType>
        <CaseDisplayIdentifier>23070-04-22</CaseDisplayIdentifier>
        <CaseTypeID>15</CaseTypeID>
        <CaseTypeName>תיק משפחה (תמ"ש)</CaseTypeName>
        <CaseName>כרים ואח' נ' כרים ואח'</CaseName>
        <FullAddress>תרע"ד 1 רמת גן </FullAddress>
        <MotionID>0</MotionID>
        <CasePleaID>0</CasePleaID>
        <BirthDate>1966-06-07T00:00:00+03:00</BirthDate>
        <FatherName>שלמה</FatherName>
        <LinkedCaseID>0</LinkedCaseID>
        <PartyID>2</PartyID>
        <CasePartyCategoryID>2</CasePartyCategoryID>
        <LegalEntityAddressID>86404320</LegalEntityAddressID>
        <PleaTypeID>4</PleaTypeID>
        <GroupPartyAlias>נתבעים</GroupPartyAlias>
        <IsConverted>false</IsConverted>
        <LegalEntityRegisteredNameID>1928220</LegalEntityRegisteredNameID>
        <LegalEntityNameID>92973174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רחל תמרי</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ברוך כרים</FullName>
        <FirstName>ברוך</FirstName>
        <LastName>כרים</LastName>
        <PartyPropertyName/>
        <AuthenticationTypeAndNumber>ת"ז 024568024</AuthenticationTypeAndNumber>
        <RepresentatedOrRepresentativesNames>ליהיא דמבינסקי-כהן</RepresentatedOrRepresentativesNames>
        <RepresentatedOrRepresentativesCount>1</RepresentatedOrRepresentativesCount>
        <InvitedBy/>
        <CaseID>79201209</CaseID>
        <CaseJudicialPersonPresentationDS>
          <CaseJudicalPersonActive>
            <CaseID>79201209</CaseID>
            <JudicialPersonID>025402884@GOV.IL</JudicialPersonID>
            <JudicialPersonTypeID>1</JudicialPersonTypeID>
            <JudicialTypeID>1</JudicialTypeID>
            <IsChairman>false</IsChairman>
            <TreatmentStartDate>2022-05-15T09:05:06.513+03:00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239863969</CasePartyID>
        <PartyTypeID>1</PartyTypeID>
        <ActivityStatusID>1</ActivityStatusID>
        <PartyAliasID>2</PartyAliasID>
        <PartyAliasName>נתבע</PartyAliasName>
        <OrdinalNumber>4</OrdinalNumber>
        <LegalEntityID>80439489</LegalEntityID>
        <CaseLegalEntityID>119413241</CaseLegalEntityID>
        <AuthenticationTypeID>1</AuthenticationTypeID>
        <AuthenticationTypeName>ת"ז</AuthenticationTypeName>
        <LegalEntityNumber>024568024</LegalEntityNumber>
        <IsMainPartyType>true</IsMainPartyType>
        <CaseDisplayIdentifier>23070-04-22</CaseDisplayIdentifier>
        <CaseTypeID>15</CaseTypeID>
        <CaseTypeName>תיק משפחה (תמ"ש)</CaseTypeName>
        <CaseName>כרים ואח' נ' כרים ואח'</CaseName>
        <FullAddress/>
        <MotionID>0</MotionID>
        <CasePleaID>0</CasePleaID>
        <FatherName>שלמה</FatherName>
        <LinkedCaseID>0</LinkedCaseID>
        <PartyID>2</PartyID>
        <CasePartyCategoryID>2</CasePartyCategoryID>
        <PleaTypeID>4</PleaTypeID>
        <GroupPartyAlias>נתבעים</GroupPartyAlias>
        <IsConverted>false</IsConverted>
        <LegalEntityRegisteredNameID>9886593</LegalEntityRegisteredNameID>
        <LegalEntityNameID>92973179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ברוך כרים</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מלי גלר</FullName>
        <FirstName>מלי</FirstName>
        <LastName>גלר</LastName>
        <PartyPropertyName/>
        <AuthenticationTypeAndNumber>ת"ז 031788524</AuthenticationTypeAndNumber>
        <RepresentatedOrRepresentativesNames>ליהיא דמבינסקי-כהן</RepresentatedOrRepresentativesNames>
        <RepresentatedOrRepresentativesCount>1</RepresentatedOrRepresentativesCount>
        <InvitedBy/>
        <CaseID>79201209</CaseID>
        <CaseJudicialPersonPresentationDS>
          <CaseJudicalPersonActive>
            <CaseID>79201209</CaseID>
            <JudicialPersonID>025402884@GOV.IL</JudicialPersonID>
            <JudicialPersonTypeID>1</JudicialPersonTypeID>
            <JudicialTypeID>1</JudicialTypeID>
            <IsChairman>false</IsChairman>
            <TreatmentStartDate>2022-05-15T09:05:06.513+03:00</TreatmentStartDate>
            <TreatmentFinishDate>9999-12-31T23:59:59.997+02:00</TreatmentFinishDate>
            <IdentificationCardNumber>025402884</IdentificationCardNumber>
            <DisplayName>ציפי כהן אביטן</DisplayName>
            <JudicialTypeName>שופט</JudicialTypeName>
            <CaseJudicialGroupNumber>0</CaseJudicialGroupNumber>
            <FirstName>ציפי</FirstName>
            <LastName>כהן אביטן</LastName>
            <JudicialPersonTitle>שופט</JudicialPersonTitle>
          </CaseJudicalPersonActive>
        </CaseJudicialPersonPresentationDS>
        <CasePartyID>239864033</CasePartyID>
        <PartyTypeID>1</PartyTypeID>
        <ActivityStatusID>1</ActivityStatusID>
        <PartyAliasID>2</PartyAliasID>
        <PartyAliasName>נתבע</PartyAliasName>
        <OrdinalNumber>5</OrdinalNumber>
        <LegalEntityID>71470870</LegalEntityID>
        <CaseLegalEntityID>119413270</CaseLegalEntityID>
        <AuthenticationTypeID>1</AuthenticationTypeID>
        <AuthenticationTypeName>ת"ז</AuthenticationTypeName>
        <LegalEntityNumber>031788524</LegalEntityNumber>
        <IsMainPartyType>true</IsMainPartyType>
        <CaseDisplayIdentifier>23070-04-22</CaseDisplayIdentifier>
        <CaseTypeID>15</CaseTypeID>
        <CaseTypeName>תיק משפחה (תמ"ש)</CaseTypeName>
        <CaseName>כרים ואח' נ' כרים ואח'</CaseName>
        <FullAddress>חורגין 34 רמת גן </FullAddress>
        <MotionID>0</MotionID>
        <CasePleaID>0</CasePleaID>
        <FatherName>שלמה</FatherName>
        <LinkedCaseID>0</LinkedCaseID>
        <PartyID>2</PartyID>
        <CasePartyCategoryID>2</CasePartyCategoryID>
        <LegalEntityAddressID>86404331</LegalEntityAddressID>
        <PleaTypeID>4</PleaTypeID>
        <GroupPartyAlias>נתבעים</GroupPartyAlias>
        <IsConverted>false</IsConverted>
        <LegalEntityRegisteredNameID>9886597</LegalEntityRegisteredNameID>
        <LegalEntityNameID>92973188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מלי גלר</PublicationProhibitedFullName>
      </CaseParties>
    </CasePartiesSelectionDS>
    <CaseName>כרים ואח' נ' כרים ואח'</CaseName>
    <CaseDisplayIdentifier>23070-04-22</CaseDisplayIdentifier>
    <CaseInterestID>158</CaseInterestID>
    <CaseTypeShortName>תמ"ש</CaseTypeShortName>
  </dt_DecisionCase>
  <dt_DecisionJudgePanel>
    <JudgeID>025402884@GOV.IL</JudgeID>
    <DisplayName>ציפי כהן אביטן</DisplayName>
    <RoleName>שופט</RoleName>
    <UserTitleName>שופטת</UserTitleName>
  </dt_DecisionJudgePanel>
  <dt_LegalEntityDetails>
    <Fax>03-5440068</Fax>
    <Phone>03-5440067</Phone>
    <PartyID>1</PartyID>
    <PartyTypeID>2</PartyTypeID>
    <DecisionID>0</DecisionID>
    <StreetName>יעקב חזן 11</StreetName>
    <ZipCode>6930072</ZipCode>
    <CityName>תל אביב -יפו</CityName>
    <FullName>זהר פשה אלון</FullName>
    <IsPublicationProhibited>false</IsPublicationProhibited>
  </dt_LegalEntityDetails>
  <dt_LegalEntityDetails>
    <Fax>03-6131271</Fax>
    <PartyID>1</PartyID>
    <PartyTypeID>2</PartyTypeID>
    <DecisionID>0</DecisionID>
    <StreetName>שד' בן גוריון 73</StreetName>
    <CityName>תל אביב -יפו</CityName>
    <FullName>משה זאב בן-דורי</FullName>
    <Email>BEN0110160@GMAIL.COM</Email>
    <IsPublicationProhibited>false</IsPublicationProhibited>
  </dt_LegalEntityDetails>
  <dt_LegalEntityDetails>
    <Fax>074-7705926</Fax>
    <Phone>03-7546406</Phone>
    <AddressDesc>קומה 16</AddressDesc>
    <PartyID>2</PartyID>
    <PartyTypeID>2</PartyTypeID>
    <DecisionID>0</DecisionID>
    <StreetName>השלושה 2</StreetName>
    <ZipCode>6706054</ZipCode>
    <CityName>תל אביב -יפו</CityName>
    <FullName>ליהיא דמבינסקי-כהן</FullName>
    <Email>lihic@firon.co.il</Email>
    <IsPublicationProhibited>false</IsPublicationProhibited>
  </dt_LegalEntityDetails>
  <dt_LegalEntityDetails>
    <Fax>03-6056630</Fax>
    <Phone>03-6056655</Phone>
    <PartyTypeID>2</PartyTypeID>
    <DecisionID>0</DecisionID>
    <StreetName>מנחם בגין 11</StreetName>
    <ZipCode>52681</ZipCode>
    <CityName>רמת גן</CityName>
    <FullName>יובל עציוני</FullName>
    <Email>etzionilawoffice@gmail.com</Email>
    <IsPublicationProhibited>false</IsPublicationProhibited>
  </dt_LegalEntityDetails>
  <dt_LegalEntityDetails>
    <PartyTypeID>4</PartyTypeID>
    <DecisionID>0</DecisionID>
    <IsPublicationProhibited>false</IsPublicationProhibited>
  </dt_LegalEntityDetails>
  <dt_LegalEntityDetails>
    <PartyID>1</PartyID>
    <PartyTypeID>1</PartyTypeID>
    <DecisionID>0</DecisionID>
    <FullName>משה כרים</FullName>
    <IsPublicationProhibited>false</IsPublicationProhibited>
  </dt_LegalEntityDetails>
  <dt_LegalEntityDetails>
    <PartyID>2</PartyID>
    <PartyTypeID>1</PartyTypeID>
    <DecisionID>0</DecisionID>
    <StreetName>ביאליק 115</StreetName>
    <CityName>רמת גן</CityName>
    <FullName>שרה כרים</FullName>
    <IsPublicationProhibited>false</IsPublicationProhibited>
  </dt_LegalEntityDetails>
  <dt_LegalEntityDetails>
    <PartyID>1</PartyID>
    <PartyTypeID>1</PartyTypeID>
    <DecisionID>0</DecisionID>
    <FullName>כוכבית בקו</FullName>
    <IsPublicationProhibited>false</IsPublicationProhibited>
  </dt_LegalEntityDetails>
  <dt_LegalEntityDetails>
    <PartyID>2</PartyID>
    <PartyTypeID>1</PartyTypeID>
    <DecisionID>0</DecisionID>
    <StreetName>גלעד 11</StreetName>
    <CityName>רמת גן</CityName>
    <FullName>לאה כהן</FullName>
    <IsPublicationProhibited>false</IsPublicationProhibited>
  </dt_LegalEntityDetails>
  <dt_LegalEntityDetails>
    <PartyID>2</PartyID>
    <PartyTypeID>1</PartyTypeID>
    <DecisionID>0</DecisionID>
    <StreetName>תרע"ד 1</StreetName>
    <CityName>רמת גן</CityName>
    <FullName>רחל תמרי</FullName>
    <IsPublicationProhibited>false</IsPublicationProhibited>
  </dt_LegalEntityDetails>
  <dt_LegalEntityDetails>
    <PartyID>2</PartyID>
    <PartyTypeID>1</PartyTypeID>
    <DecisionID>0</DecisionID>
    <FullName>ברוך כרים</FullName>
    <IsPublicationProhibited>false</IsPublicationProhibited>
  </dt_LegalEntityDetails>
  <dt_LegalEntityDetails>
    <PartyID>2</PartyID>
    <PartyTypeID>1</PartyTypeID>
    <DecisionID>0</DecisionID>
    <StreetName>חורגין 34</StreetName>
    <CityName>רמת גן</CityName>
    <FullName>מלי גלר</FullName>
    <IsPublicationProhibited>false</IsPublicationProhibited>
  </dt_LegalEntityDetails>
  <dt_CaseJudicalPersonActive>
    <CaseJudicalPerson>שופטת ציפי כהן אביטן</CaseJudicalPerson>
  </dt_CaseJudicalPersonActive>
  <dt_Sitting>
    <PreviousMeetingDate>2023-01-03T09:00:00+02:00</PreviousMeetingDate>
    <PreviousSittingTypeID>2</PreviousSittingTypeID>
    <PreviousMeetingDisplayName>שופטת ציפי כהן אביטן</PreviousMeetingDisplayName>
    <PreviousMeetingRoleName>שופט</PreviousMeetingRoleName>
    <PreviousMeetingUserTitleName>שופטת</PreviousMeetingUserTitleName>
    <PreviousMeetingUserUPN>025402884@GOV.IL</PreviousMeetingUserUPN>
  </dt_Sitting>
</DecisionTemplateDS>
</file>

<file path=customXml/itemProps1.xml><?xml version="1.0" encoding="utf-8"?>
<ds:datastoreItem xmlns:ds="http://schemas.openxmlformats.org/officeDocument/2006/customXml" ds:itemID="{5BDE609E-785D-4F03-8EFE-58AFC3A7FF5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3396</Words>
  <Characters>16981</Characters>
  <Application>Microsoft Office Word</Application>
  <DocSecurity>0</DocSecurity>
  <Lines>141</Lines>
  <Paragraphs>40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2024-08-13T05:45:00Z</dcterms:created>
  <dcterms:modified xsi:type="dcterms:W3CDTF">2024-08-13T05:45:00Z</dcterms:modified>
</cp:coreProperties>
</file>